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A0EDD" w14:textId="67DE03B5" w:rsidR="009C6E7C" w:rsidRPr="00F5710E" w:rsidRDefault="00D75446" w:rsidP="00D75446">
      <w:pPr>
        <w:spacing w:line="240" w:lineRule="auto"/>
        <w:ind w:left="-450"/>
        <w:jc w:val="center"/>
        <w:rPr>
          <w:rFonts w:asciiTheme="majorHAnsi" w:eastAsia="Calibri" w:hAnsiTheme="majorHAnsi" w:cstheme="majorBidi"/>
          <w:b/>
          <w:bCs/>
          <w:color w:val="000000"/>
          <w:sz w:val="28"/>
          <w:szCs w:val="28"/>
          <w:highlight w:val="white"/>
          <w:lang w:val="en-US"/>
        </w:rPr>
      </w:pPr>
      <w:r>
        <w:rPr>
          <w:rFonts w:asciiTheme="majorHAnsi" w:hAnsiTheme="majorHAnsi" w:cstheme="majorHAnsi"/>
          <w:b/>
          <w:noProof/>
          <w:color w:val="000000"/>
          <w:sz w:val="28"/>
          <w:szCs w:val="28"/>
        </w:rPr>
        <w:drawing>
          <wp:anchor distT="0" distB="0" distL="114300" distR="114300" simplePos="0" relativeHeight="251669504" behindDoc="0" locked="0" layoutInCell="1" allowOverlap="1" wp14:anchorId="07AAE0B0" wp14:editId="4B4121FA">
            <wp:simplePos x="0" y="0"/>
            <wp:positionH relativeFrom="margin">
              <wp:align>center</wp:align>
            </wp:positionH>
            <wp:positionV relativeFrom="margin">
              <wp:posOffset>-161925</wp:posOffset>
            </wp:positionV>
            <wp:extent cx="6496050" cy="742950"/>
            <wp:effectExtent l="0" t="0" r="0" b="0"/>
            <wp:wrapSquare wrapText="bothSides"/>
            <wp:docPr id="2071264024" name="Picture 1" descr="A blue and whit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264024" name="Picture 1" descr="A blue and white lin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96050" cy="742950"/>
                    </a:xfrm>
                    <a:prstGeom prst="rect">
                      <a:avLst/>
                    </a:prstGeom>
                  </pic:spPr>
                </pic:pic>
              </a:graphicData>
            </a:graphic>
          </wp:anchor>
        </w:drawing>
      </w:r>
      <w:r w:rsidR="009A7C06">
        <w:rPr>
          <w:rFonts w:asciiTheme="majorHAnsi" w:hAnsiTheme="majorHAnsi" w:cstheme="majorHAnsi"/>
          <w:b/>
          <w:noProof/>
          <w:color w:val="000000"/>
          <w:sz w:val="28"/>
          <w:szCs w:val="28"/>
        </w:rPr>
        <mc:AlternateContent>
          <mc:Choice Requires="wpi">
            <w:drawing>
              <wp:anchor distT="0" distB="0" distL="114300" distR="114300" simplePos="0" relativeHeight="251668480" behindDoc="0" locked="0" layoutInCell="1" allowOverlap="1" wp14:anchorId="4E652DFC" wp14:editId="31420F2A">
                <wp:simplePos x="0" y="0"/>
                <wp:positionH relativeFrom="column">
                  <wp:posOffset>-3266955</wp:posOffset>
                </wp:positionH>
                <wp:positionV relativeFrom="paragraph">
                  <wp:posOffset>1009530</wp:posOffset>
                </wp:positionV>
                <wp:extent cx="360" cy="16920"/>
                <wp:effectExtent l="95250" t="133350" r="114300" b="173990"/>
                <wp:wrapNone/>
                <wp:docPr id="10" name="Ink 10"/>
                <wp:cNvGraphicFramePr/>
                <a:graphic xmlns:a="http://schemas.openxmlformats.org/drawingml/2006/main">
                  <a:graphicData uri="http://schemas.microsoft.com/office/word/2010/wordprocessingInk">
                    <w14:contentPart bwMode="auto" r:id="rId10">
                      <w14:nvContentPartPr>
                        <w14:cNvContentPartPr/>
                      </w14:nvContentPartPr>
                      <w14:xfrm>
                        <a:off x="0" y="0"/>
                        <a:ext cx="360" cy="16920"/>
                      </w14:xfrm>
                    </w14:contentPart>
                  </a:graphicData>
                </a:graphic>
              </wp:anchor>
            </w:drawing>
          </mc:Choice>
          <mc:Fallback>
            <w:pict>
              <v:shapetype w14:anchorId="2F03F3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261.5pt;margin-top:71pt;width:8.55pt;height:18.3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">
                <v:imagedata r:id="rId11" o:title=""/>
              </v:shape>
            </w:pict>
          </mc:Fallback>
        </mc:AlternateContent>
      </w:r>
      <w:r w:rsidR="00F10E65">
        <w:rPr>
          <w:rFonts w:ascii="Aptos" w:eastAsia="Aptos" w:hAnsi="Aptos" w:cs="Aptos"/>
          <w:b/>
          <w:bCs/>
          <w:color w:val="000000" w:themeColor="text1"/>
          <w:sz w:val="28"/>
          <w:szCs w:val="28"/>
          <w:lang w:val="en-US"/>
        </w:rPr>
        <w:t>Today’s</w:t>
      </w:r>
      <w:r w:rsidR="00F10E65" w:rsidRPr="005536F3">
        <w:rPr>
          <w:rFonts w:ascii="Aptos" w:eastAsia="Aptos" w:hAnsi="Aptos" w:cs="Aptos"/>
          <w:b/>
          <w:bCs/>
          <w:color w:val="000000" w:themeColor="text1"/>
          <w:sz w:val="28"/>
          <w:szCs w:val="28"/>
          <w:lang w:val="en-US"/>
        </w:rPr>
        <w:t xml:space="preserve"> </w:t>
      </w:r>
      <w:r w:rsidR="00F10E65" w:rsidRPr="00815BD9">
        <w:rPr>
          <w:rFonts w:ascii="Aptos" w:eastAsia="Aptos" w:hAnsi="Aptos" w:cs="Aptos"/>
          <w:b/>
          <w:bCs/>
          <w:color w:val="000000" w:themeColor="text1"/>
          <w:sz w:val="28"/>
          <w:szCs w:val="28"/>
          <w:lang w:val="en-US"/>
        </w:rPr>
        <w:t xml:space="preserve">Wafer Designs Put Premium </w:t>
      </w:r>
      <w:r w:rsidR="00F10E65" w:rsidRPr="00B5791F">
        <w:rPr>
          <w:rFonts w:ascii="Aptos" w:eastAsia="Aptos" w:hAnsi="Aptos" w:cs="Aptos"/>
          <w:b/>
          <w:bCs/>
          <w:color w:val="000000" w:themeColor="text1"/>
          <w:sz w:val="28"/>
          <w:szCs w:val="28"/>
          <w:lang w:val="en-US"/>
        </w:rPr>
        <w:t>on</w:t>
      </w:r>
      <w:r w:rsidR="00F10E65" w:rsidRPr="00815BD9">
        <w:rPr>
          <w:rFonts w:ascii="Aptos" w:eastAsia="Aptos" w:hAnsi="Aptos" w:cs="Aptos"/>
          <w:b/>
          <w:bCs/>
          <w:color w:val="000000" w:themeColor="text1"/>
          <w:sz w:val="28"/>
          <w:szCs w:val="28"/>
          <w:lang w:val="en-US"/>
        </w:rPr>
        <w:t xml:space="preserve"> Precision— 300i </w:t>
      </w:r>
      <w:r w:rsidR="00F10E65">
        <w:rPr>
          <w:rFonts w:ascii="Aptos" w:eastAsia="Aptos" w:hAnsi="Aptos" w:cs="Aptos"/>
          <w:b/>
          <w:bCs/>
          <w:color w:val="000000" w:themeColor="text1"/>
          <w:sz w:val="28"/>
          <w:szCs w:val="28"/>
          <w:lang w:val="en-US"/>
        </w:rPr>
        <w:t>Increases</w:t>
      </w:r>
      <w:r w:rsidR="00F10E65" w:rsidRPr="00815BD9">
        <w:rPr>
          <w:rFonts w:ascii="Aptos" w:eastAsia="Aptos" w:hAnsi="Aptos" w:cs="Aptos"/>
          <w:b/>
          <w:bCs/>
          <w:color w:val="000000" w:themeColor="text1"/>
          <w:sz w:val="28"/>
          <w:szCs w:val="28"/>
          <w:lang w:val="en-US"/>
        </w:rPr>
        <w:t xml:space="preserve"> ROI</w:t>
      </w:r>
    </w:p>
    <w:p w14:paraId="1F8018C8" w14:textId="77777777" w:rsidR="007D3FA5" w:rsidRDefault="007D3FA5" w:rsidP="007D3FA5">
      <w:pPr>
        <w:spacing w:line="240" w:lineRule="auto"/>
        <w:jc w:val="center"/>
        <w:rPr>
          <w:rFonts w:ascii="Aptos" w:eastAsia="Aptos" w:hAnsi="Aptos" w:cs="Times New Roman"/>
          <w:i/>
          <w:iCs/>
          <w:color w:val="000000" w:themeColor="text1"/>
          <w:lang w:val="en-US"/>
        </w:rPr>
      </w:pPr>
      <w:r>
        <w:rPr>
          <w:rFonts w:ascii="Aptos" w:eastAsia="Aptos" w:hAnsi="Aptos" w:cs="Times New Roman"/>
          <w:color w:val="000000" w:themeColor="text1"/>
          <w:lang w:val="en-US"/>
        </w:rPr>
        <w:br/>
      </w:r>
      <w:r w:rsidRPr="007D3FA5">
        <w:rPr>
          <w:rFonts w:ascii="Aptos" w:eastAsia="Aptos" w:hAnsi="Aptos" w:cs="Times New Roman"/>
          <w:i/>
          <w:iCs/>
          <w:color w:val="000000" w:themeColor="text1"/>
          <w:lang w:val="en-US"/>
        </w:rPr>
        <w:t xml:space="preserve">Value of incoming wafer inspection with 300i’s </w:t>
      </w:r>
      <w:r w:rsidRPr="007D3FA5">
        <w:rPr>
          <w:rFonts w:ascii="Aptos" w:eastAsia="Cambria" w:hAnsi="Aptos" w:cs="Aptos"/>
          <w:i/>
          <w:iCs/>
          <w:color w:val="000000" w:themeColor="text1"/>
          <w:lang w:val="en-US"/>
        </w:rPr>
        <w:t xml:space="preserve">±0.25µm accuracy </w:t>
      </w:r>
      <w:r w:rsidRPr="007D3FA5">
        <w:rPr>
          <w:rFonts w:ascii="Aptos" w:eastAsia="Aptos" w:hAnsi="Aptos" w:cs="Times New Roman"/>
          <w:i/>
          <w:iCs/>
          <w:color w:val="000000" w:themeColor="text1"/>
          <w:lang w:val="en-US"/>
        </w:rPr>
        <w:t>far outweighs</w:t>
      </w:r>
    </w:p>
    <w:p w14:paraId="5C1FA500" w14:textId="64A16A83" w:rsidR="007D3FA5" w:rsidRPr="007D3FA5" w:rsidRDefault="007D3FA5" w:rsidP="007D3FA5">
      <w:pPr>
        <w:spacing w:line="240" w:lineRule="auto"/>
        <w:jc w:val="center"/>
        <w:rPr>
          <w:rFonts w:ascii="Aptos" w:eastAsia="Aptos" w:hAnsi="Aptos" w:cs="Times New Roman"/>
          <w:i/>
          <w:iCs/>
          <w:color w:val="000000" w:themeColor="text1"/>
          <w:lang w:val="en-US"/>
        </w:rPr>
      </w:pPr>
      <w:r w:rsidRPr="007D3FA5">
        <w:rPr>
          <w:rFonts w:ascii="Aptos" w:eastAsia="Aptos" w:hAnsi="Aptos" w:cs="Times New Roman"/>
          <w:i/>
          <w:iCs/>
          <w:color w:val="000000" w:themeColor="text1"/>
          <w:lang w:val="en-US"/>
        </w:rPr>
        <w:t>potential for costly downstream yield losses</w:t>
      </w:r>
    </w:p>
    <w:p w14:paraId="5C78798E" w14:textId="7D2EFFC9" w:rsidR="00E15A0B" w:rsidRPr="00CE53D2" w:rsidRDefault="005511AE" w:rsidP="006F2C5B">
      <w:pPr>
        <w:pStyle w:val="NormalWeb"/>
        <w:rPr>
          <w:rFonts w:asciiTheme="majorHAnsi" w:hAnsiTheme="majorHAnsi" w:cstheme="majorHAnsi"/>
          <w:sz w:val="19"/>
          <w:szCs w:val="19"/>
          <w:lang w:val="en"/>
        </w:rPr>
      </w:pPr>
      <w:r w:rsidRPr="00CE53D2">
        <w:rPr>
          <w:rFonts w:asciiTheme="majorHAnsi" w:eastAsia="Calibri" w:hAnsiTheme="majorHAnsi" w:cstheme="majorHAnsi"/>
          <w:b/>
          <w:bCs/>
          <w:noProof/>
          <w:color w:val="000000"/>
          <w:sz w:val="19"/>
          <w:szCs w:val="19"/>
        </w:rPr>
        <w:drawing>
          <wp:anchor distT="0" distB="0" distL="114300" distR="114300" simplePos="0" relativeHeight="251664384" behindDoc="0" locked="0" layoutInCell="1" allowOverlap="1" wp14:anchorId="4ACABC93" wp14:editId="39967044">
            <wp:simplePos x="0" y="0"/>
            <wp:positionH relativeFrom="column">
              <wp:posOffset>189865</wp:posOffset>
            </wp:positionH>
            <wp:positionV relativeFrom="paragraph">
              <wp:posOffset>67310</wp:posOffset>
            </wp:positionV>
            <wp:extent cx="1685925" cy="1523365"/>
            <wp:effectExtent l="0" t="0" r="9525" b="635"/>
            <wp:wrapSquare wrapText="bothSides"/>
            <wp:docPr id="2000534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534923"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685925" cy="1523365"/>
                    </a:xfrm>
                    <a:prstGeom prst="rect">
                      <a:avLst/>
                    </a:prstGeom>
                  </pic:spPr>
                </pic:pic>
              </a:graphicData>
            </a:graphic>
            <wp14:sizeRelH relativeFrom="margin">
              <wp14:pctWidth>0</wp14:pctWidth>
            </wp14:sizeRelH>
            <wp14:sizeRelV relativeFrom="margin">
              <wp14:pctHeight>0</wp14:pctHeight>
            </wp14:sizeRelV>
          </wp:anchor>
        </w:drawing>
      </w:r>
      <w:r w:rsidR="009A7C06" w:rsidRPr="00CE53D2">
        <w:rPr>
          <w:rFonts w:asciiTheme="majorHAnsi" w:eastAsia="Calibri" w:hAnsiTheme="majorHAnsi" w:cstheme="majorHAnsi"/>
          <w:b/>
          <w:bCs/>
          <w:noProof/>
          <w:color w:val="000000"/>
          <w:sz w:val="19"/>
          <w:szCs w:val="19"/>
        </w:rPr>
        <mc:AlternateContent>
          <mc:Choice Requires="wpi">
            <w:drawing>
              <wp:anchor distT="0" distB="0" distL="114300" distR="114300" simplePos="0" relativeHeight="251662336" behindDoc="0" locked="0" layoutInCell="1" allowOverlap="1" wp14:anchorId="2FD3587F" wp14:editId="1DC10666">
                <wp:simplePos x="0" y="0"/>
                <wp:positionH relativeFrom="column">
                  <wp:posOffset>10067925</wp:posOffset>
                </wp:positionH>
                <wp:positionV relativeFrom="paragraph">
                  <wp:posOffset>434160</wp:posOffset>
                </wp:positionV>
                <wp:extent cx="360" cy="360"/>
                <wp:effectExtent l="95250" t="152400" r="114300" b="152400"/>
                <wp:wrapNone/>
                <wp:docPr id="9" name="Ink 9"/>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672FE388" id="Ink 9" o:spid="_x0000_s1026" type="#_x0000_t75" style="position:absolute;margin-left:788.5pt;margin-top:25.7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D9Eilm&#10;4AEAAJ4EAAAQAAAAAAAAAAAAAAAAANQDAABkcnMvaW5rL2luazEueG1sUEsBAi0AFAAGAAgAAAAh&#10;AKfma9fgAAAACwEAAA8AAAAAAAAAAAAAAAAA4gUAAGRycy9kb3ducmV2LnhtbFBLAQItABQABgAI&#10;AAAAIQB5GLydvwAAACEBAAAZAAAAAAAAAAAAAAAAAO8GAABkcnMvX3JlbHMvZTJvRG9jLnhtbC5y&#10;ZWxzUEsFBgAAAAAGAAYAeAEAAOUHAAAAAA==&#10;">
                <v:imagedata r:id="rId14" o:title=""/>
              </v:shape>
            </w:pict>
          </mc:Fallback>
        </mc:AlternateContent>
      </w:r>
      <w:r w:rsidR="009A7C06" w:rsidRPr="00CE53D2">
        <w:rPr>
          <w:rFonts w:asciiTheme="majorHAnsi" w:eastAsia="Calibri" w:hAnsiTheme="majorHAnsi" w:cstheme="majorHAnsi"/>
          <w:b/>
          <w:bCs/>
          <w:noProof/>
          <w:color w:val="000000"/>
          <w:sz w:val="19"/>
          <w:szCs w:val="19"/>
        </w:rPr>
        <mc:AlternateContent>
          <mc:Choice Requires="wpi">
            <w:drawing>
              <wp:anchor distT="0" distB="0" distL="114300" distR="114300" simplePos="0" relativeHeight="251660288" behindDoc="0" locked="0" layoutInCell="1" allowOverlap="1" wp14:anchorId="4479B8AF" wp14:editId="40B7F5A1">
                <wp:simplePos x="0" y="0"/>
                <wp:positionH relativeFrom="column">
                  <wp:posOffset>3524205</wp:posOffset>
                </wp:positionH>
                <wp:positionV relativeFrom="paragraph">
                  <wp:posOffset>1091520</wp:posOffset>
                </wp:positionV>
                <wp:extent cx="360" cy="360"/>
                <wp:effectExtent l="95250" t="152400" r="114300" b="152400"/>
                <wp:wrapNone/>
                <wp:docPr id="8" name="Ink 8"/>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0F32E533" id="Ink 8" o:spid="_x0000_s1026" type="#_x0000_t75" style="position:absolute;margin-left:273.25pt;margin-top:77.45pt;width:8.55pt;height:17.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">
                <v:imagedata r:id="rId14" o:title=""/>
              </v:shape>
            </w:pict>
          </mc:Fallback>
        </mc:AlternateContent>
      </w:r>
      <w:r w:rsidR="009A7C06" w:rsidRPr="00CE53D2">
        <w:rPr>
          <w:rFonts w:asciiTheme="majorHAnsi" w:eastAsia="Calibri" w:hAnsiTheme="majorHAnsi" w:cstheme="majorHAnsi"/>
          <w:b/>
          <w:bCs/>
          <w:noProof/>
          <w:color w:val="000000"/>
          <w:sz w:val="19"/>
          <w:szCs w:val="19"/>
        </w:rPr>
        <mc:AlternateContent>
          <mc:Choice Requires="wpi">
            <w:drawing>
              <wp:anchor distT="0" distB="0" distL="114300" distR="114300" simplePos="0" relativeHeight="251658240" behindDoc="0" locked="0" layoutInCell="1" allowOverlap="1" wp14:anchorId="09B359CE" wp14:editId="46C8DC92">
                <wp:simplePos x="0" y="0"/>
                <wp:positionH relativeFrom="column">
                  <wp:posOffset>3219285</wp:posOffset>
                </wp:positionH>
                <wp:positionV relativeFrom="paragraph">
                  <wp:posOffset>824760</wp:posOffset>
                </wp:positionV>
                <wp:extent cx="360" cy="360"/>
                <wp:effectExtent l="95250" t="152400" r="114300" b="152400"/>
                <wp:wrapNone/>
                <wp:docPr id="6" name="Ink 6"/>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2D741B53" id="Ink 6" o:spid="_x0000_s1026" type="#_x0000_t75" style="position:absolute;margin-left:249.25pt;margin-top:56.45pt;width:8.55pt;height:17.0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Au6Fbjf&#10;AQAAngQAABAAAAAAAAAAAAAAAAAA1AMAAGRycy9pbmsvaW5rMS54bWxQSwECLQAUAAYACAAAACEA&#10;u8WeDeAAAAALAQAADwAAAAAAAAAAAAAAAADhBQAAZHJzL2Rvd25yZXYueG1sUEsBAi0AFAAGAAgA&#10;AAAhAHkYvJ2/AAAAIQEAABkAAAAAAAAAAAAAAAAA7gYAAGRycy9fcmVscy9lMm9Eb2MueG1sLnJl&#10;bHNQSwUGAAAAAAYABgB4AQAA5AcAAAAA&#10;">
                <v:imagedata r:id="rId14" o:title=""/>
              </v:shape>
            </w:pict>
          </mc:Fallback>
        </mc:AlternateContent>
      </w:r>
      <w:r w:rsidR="009A7C06" w:rsidRPr="00CE53D2">
        <w:rPr>
          <w:rFonts w:asciiTheme="majorHAnsi" w:eastAsia="Calibri" w:hAnsiTheme="majorHAnsi" w:cstheme="majorHAnsi"/>
          <w:b/>
          <w:bCs/>
          <w:noProof/>
          <w:color w:val="000000"/>
          <w:sz w:val="19"/>
          <w:szCs w:val="19"/>
        </w:rPr>
        <mc:AlternateContent>
          <mc:Choice Requires="wpi">
            <w:drawing>
              <wp:anchor distT="0" distB="0" distL="114300" distR="114300" simplePos="0" relativeHeight="251656192" behindDoc="0" locked="0" layoutInCell="1" allowOverlap="1" wp14:anchorId="3576D9E0" wp14:editId="164DEB0E">
                <wp:simplePos x="0" y="0"/>
                <wp:positionH relativeFrom="column">
                  <wp:posOffset>3219285</wp:posOffset>
                </wp:positionH>
                <wp:positionV relativeFrom="paragraph">
                  <wp:posOffset>824760</wp:posOffset>
                </wp:positionV>
                <wp:extent cx="360" cy="360"/>
                <wp:effectExtent l="95250" t="152400" r="114300" b="152400"/>
                <wp:wrapNone/>
                <wp:docPr id="5" name="Ink 5"/>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7503C6C0" id="Ink 5" o:spid="_x0000_s1026" type="#_x0000_t75" style="position:absolute;margin-left:249.25pt;margin-top:56.45pt;width:8.55pt;height:17.05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JyExk/f&#10;AQAAngQAABAAAAAAAAAAAAAAAAAA1AMAAGRycy9pbmsvaW5rMS54bWxQSwECLQAUAAYACAAAACEA&#10;u8WeDeAAAAALAQAADwAAAAAAAAAAAAAAAADhBQAAZHJzL2Rvd25yZXYueG1sUEsBAi0AFAAGAAgA&#10;AAAhAHkYvJ2/AAAAIQEAABkAAAAAAAAAAAAAAAAA7gYAAGRycy9fcmVscy9lMm9Eb2MueG1sLnJl&#10;bHNQSwUGAAAAAAYABgB4AQAA5AcAAAAA&#10;">
                <v:imagedata r:id="rId14" o:title=""/>
              </v:shape>
            </w:pict>
          </mc:Fallback>
        </mc:AlternateContent>
      </w:r>
      <w:r w:rsidR="009A7C06" w:rsidRPr="00CE53D2">
        <w:rPr>
          <w:rFonts w:asciiTheme="majorHAnsi" w:eastAsia="Calibri" w:hAnsiTheme="majorHAnsi" w:cstheme="majorHAnsi"/>
          <w:b/>
          <w:bCs/>
          <w:noProof/>
          <w:color w:val="000000"/>
          <w:sz w:val="19"/>
          <w:szCs w:val="19"/>
        </w:rPr>
        <mc:AlternateContent>
          <mc:Choice Requires="wpi">
            <w:drawing>
              <wp:anchor distT="0" distB="0" distL="114300" distR="114300" simplePos="0" relativeHeight="251654144" behindDoc="0" locked="0" layoutInCell="1" allowOverlap="1" wp14:anchorId="277B4598" wp14:editId="59AB6280">
                <wp:simplePos x="0" y="0"/>
                <wp:positionH relativeFrom="column">
                  <wp:posOffset>3028845</wp:posOffset>
                </wp:positionH>
                <wp:positionV relativeFrom="paragraph">
                  <wp:posOffset>1234440</wp:posOffset>
                </wp:positionV>
                <wp:extent cx="360" cy="360"/>
                <wp:effectExtent l="95250" t="152400" r="114300" b="152400"/>
                <wp:wrapNone/>
                <wp:docPr id="3" name="Ink 3"/>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15472026" id="Ink 3" o:spid="_x0000_s1026" type="#_x0000_t75" style="position:absolute;margin-left:234.25pt;margin-top:88.7pt;width:8.55pt;height:17.05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&#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N8QsQnf&#10;AQAAngQAABAAAAAAAAAAAAAAAAAA1AMAAGRycy9pbmsvaW5rMS54bWxQSwECLQAUAAYACAAAACEA&#10;HN8MF+AAAAALAQAADwAAAAAAAAAAAAAAAADhBQAAZHJzL2Rvd25yZXYueG1sUEsBAi0AFAAGAAgA&#10;AAAhAHkYvJ2/AAAAIQEAABkAAAAAAAAAAAAAAAAA7gYAAGRycy9fcmVscy9lMm9Eb2MueG1sLnJl&#10;bHNQSwUGAAAAAAYABgB4AQAA5AcAAAAA&#10;">
                <v:imagedata r:id="rId14" o:title=""/>
              </v:shape>
            </w:pict>
          </mc:Fallback>
        </mc:AlternateContent>
      </w:r>
      <w:r w:rsidR="009A7C06" w:rsidRPr="00CE53D2">
        <w:rPr>
          <w:rFonts w:asciiTheme="majorHAnsi" w:eastAsia="Calibri" w:hAnsiTheme="majorHAnsi" w:cstheme="majorHAnsi"/>
          <w:b/>
          <w:bCs/>
          <w:noProof/>
          <w:color w:val="000000"/>
          <w:sz w:val="19"/>
          <w:szCs w:val="19"/>
        </w:rPr>
        <mc:AlternateContent>
          <mc:Choice Requires="wpi">
            <w:drawing>
              <wp:anchor distT="0" distB="0" distL="114300" distR="114300" simplePos="0" relativeHeight="251652096" behindDoc="0" locked="0" layoutInCell="1" allowOverlap="1" wp14:anchorId="7DC7DD2E" wp14:editId="4582940A">
                <wp:simplePos x="0" y="0"/>
                <wp:positionH relativeFrom="column">
                  <wp:posOffset>3047925</wp:posOffset>
                </wp:positionH>
                <wp:positionV relativeFrom="paragraph">
                  <wp:posOffset>977040</wp:posOffset>
                </wp:positionV>
                <wp:extent cx="360" cy="360"/>
                <wp:effectExtent l="95250" t="152400" r="114300" b="152400"/>
                <wp:wrapNone/>
                <wp:docPr id="2" name="Ink 2"/>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74A3703F" id="Ink 2" o:spid="_x0000_s1026" type="#_x0000_t75" style="position:absolute;margin-left:235.75pt;margin-top:68.45pt;width:8.55pt;height:17.0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">
                <v:imagedata r:id="rId14" o:title=""/>
              </v:shape>
            </w:pict>
          </mc:Fallback>
        </mc:AlternateContent>
      </w:r>
      <w:r w:rsidR="002B740B" w:rsidRPr="00CE53D2">
        <w:rPr>
          <w:rFonts w:asciiTheme="majorHAnsi" w:eastAsia="Calibri" w:hAnsiTheme="majorHAnsi" w:cstheme="majorHAnsi"/>
          <w:b/>
          <w:bCs/>
          <w:color w:val="000000"/>
          <w:sz w:val="19"/>
          <w:szCs w:val="19"/>
          <w:lang w:val="en-US"/>
        </w:rPr>
        <w:t>Lockport, IL</w:t>
      </w:r>
      <w:r w:rsidR="00AB55C0" w:rsidRPr="00CE53D2">
        <w:rPr>
          <w:rFonts w:asciiTheme="majorHAnsi" w:eastAsia="Calibri" w:hAnsiTheme="majorHAnsi" w:cstheme="majorHAnsi"/>
          <w:b/>
          <w:bCs/>
          <w:color w:val="000000"/>
          <w:sz w:val="19"/>
          <w:szCs w:val="19"/>
          <w:lang w:val="en-US"/>
        </w:rPr>
        <w:t>—</w:t>
      </w:r>
      <w:r w:rsidR="00266753" w:rsidRPr="00CE53D2">
        <w:rPr>
          <w:rFonts w:asciiTheme="majorHAnsi" w:eastAsia="Calibri" w:hAnsiTheme="majorHAnsi" w:cstheme="majorHAnsi"/>
          <w:b/>
          <w:bCs/>
          <w:color w:val="000000"/>
          <w:sz w:val="19"/>
          <w:szCs w:val="19"/>
          <w:lang w:val="en-US"/>
        </w:rPr>
        <w:t>December 16, 2025</w:t>
      </w:r>
      <w:r w:rsidR="00E15A0B" w:rsidRPr="00CE53D2">
        <w:rPr>
          <w:rFonts w:asciiTheme="majorHAnsi" w:eastAsia="Calibri" w:hAnsiTheme="majorHAnsi" w:cstheme="majorHAnsi"/>
          <w:color w:val="000000"/>
          <w:sz w:val="19"/>
          <w:szCs w:val="19"/>
          <w:lang w:val="en-US"/>
        </w:rPr>
        <w:t xml:space="preserve">- </w:t>
      </w:r>
      <w:r w:rsidR="00E15A0B" w:rsidRPr="00CE53D2">
        <w:rPr>
          <w:rFonts w:asciiTheme="majorHAnsi" w:hAnsiTheme="majorHAnsi" w:cstheme="majorHAnsi"/>
          <w:sz w:val="19"/>
          <w:szCs w:val="19"/>
        </w:rPr>
        <w:t xml:space="preserve">Semiconductor fabrication facilities risk substantial financial exposure from incoming wafers defects. With typical lot sizes of 25 wafers and finished wafer values ranging from $4,000 to $17,000, depending on complexity, a single contaminated lot can translate into  $100,000 to $425,000 in processed material losses – plus  the costs of  production delays,   </w:t>
      </w:r>
      <w:proofErr w:type="spellStart"/>
      <w:r w:rsidR="00E15A0B" w:rsidRPr="00CE53D2">
        <w:rPr>
          <w:rFonts w:asciiTheme="majorHAnsi" w:hAnsiTheme="majorHAnsi" w:cstheme="majorHAnsi"/>
          <w:sz w:val="19"/>
          <w:szCs w:val="19"/>
        </w:rPr>
        <w:t>Vitrek’s</w:t>
      </w:r>
      <w:proofErr w:type="spellEnd"/>
      <w:r w:rsidR="00E15A0B" w:rsidRPr="00CE53D2">
        <w:rPr>
          <w:rFonts w:asciiTheme="majorHAnsi" w:hAnsiTheme="majorHAnsi" w:cstheme="majorHAnsi"/>
          <w:sz w:val="19"/>
          <w:szCs w:val="19"/>
        </w:rPr>
        <w:t xml:space="preserve"> affordable </w:t>
      </w:r>
      <w:hyperlink r:id="rId20" w:history="1">
        <w:r w:rsidR="00E15A0B" w:rsidRPr="00CE53D2">
          <w:rPr>
            <w:rStyle w:val="Hyperlink"/>
            <w:rFonts w:asciiTheme="majorHAnsi" w:hAnsiTheme="majorHAnsi" w:cstheme="majorHAnsi"/>
            <w:b/>
            <w:bCs/>
            <w:sz w:val="19"/>
            <w:szCs w:val="19"/>
          </w:rPr>
          <w:t>Proforma 300i manual metrology system</w:t>
        </w:r>
      </w:hyperlink>
      <w:r w:rsidR="00E15A0B" w:rsidRPr="00CE53D2">
        <w:rPr>
          <w:rFonts w:asciiTheme="majorHAnsi" w:hAnsiTheme="majorHAnsi" w:cstheme="majorHAnsi"/>
          <w:sz w:val="19"/>
          <w:szCs w:val="19"/>
        </w:rPr>
        <w:t>, provides the precision needed to insure y against costly defects with   superior pre-process testing.</w:t>
      </w:r>
    </w:p>
    <w:p w14:paraId="2304FE86" w14:textId="195F6686" w:rsidR="00E15A0B" w:rsidRPr="00CE53D2" w:rsidRDefault="00E15A0B" w:rsidP="006F2C5B">
      <w:pPr>
        <w:spacing w:line="240" w:lineRule="auto"/>
        <w:rPr>
          <w:rFonts w:asciiTheme="majorHAnsi" w:hAnsiTheme="majorHAnsi" w:cstheme="majorHAnsi"/>
          <w:color w:val="000000"/>
          <w:sz w:val="19"/>
          <w:szCs w:val="19"/>
          <w:lang w:val="en-IN"/>
        </w:rPr>
      </w:pPr>
      <w:r w:rsidRPr="00CE53D2">
        <w:rPr>
          <w:rFonts w:asciiTheme="majorHAnsi" w:hAnsiTheme="majorHAnsi" w:cstheme="majorHAnsi"/>
          <w:b/>
          <w:bCs/>
          <w:color w:val="000000"/>
          <w:sz w:val="19"/>
          <w:szCs w:val="19"/>
        </w:rPr>
        <w:t>The Hidden Cost of Minute Incoming Wafer Defects</w:t>
      </w:r>
    </w:p>
    <w:p w14:paraId="009CE690" w14:textId="0EA1B5EA" w:rsidR="00E15A0B" w:rsidRDefault="00E15A0B" w:rsidP="006F2C5B">
      <w:pPr>
        <w:spacing w:line="240" w:lineRule="auto"/>
        <w:rPr>
          <w:rFonts w:asciiTheme="majorHAnsi" w:hAnsiTheme="majorHAnsi" w:cstheme="majorHAnsi"/>
          <w:sz w:val="19"/>
          <w:szCs w:val="19"/>
        </w:rPr>
      </w:pPr>
      <w:r w:rsidRPr="00CE53D2">
        <w:rPr>
          <w:rFonts w:asciiTheme="majorHAnsi" w:hAnsiTheme="majorHAnsi" w:cstheme="majorHAnsi"/>
          <w:color w:val="000000"/>
          <w:sz w:val="19"/>
          <w:szCs w:val="19"/>
          <w:lang w:val="en-IN"/>
        </w:rPr>
        <w:t>Thickness variations, and flatness deviations that are virtually invisible to the naked eye can translate into accumulated tolerance issues after the stress of multiple thermal cycles and material deposition processes. These issues can translate into lithography focus errors, process uniformity problems, and even mechanical handling failures that cause a tool to enter an error state or compromise the number of usable chips per wafer.</w:t>
      </w:r>
      <w:r w:rsidR="006F2C5B" w:rsidRPr="00CE53D2">
        <w:rPr>
          <w:rFonts w:asciiTheme="majorHAnsi" w:hAnsiTheme="majorHAnsi" w:cstheme="majorHAnsi"/>
          <w:color w:val="000000"/>
          <w:sz w:val="19"/>
          <w:szCs w:val="19"/>
          <w:lang w:val="en-IN"/>
        </w:rPr>
        <w:br/>
      </w:r>
      <w:r w:rsidR="006F2C5B" w:rsidRPr="00CE53D2">
        <w:rPr>
          <w:rFonts w:asciiTheme="majorHAnsi" w:hAnsiTheme="majorHAnsi" w:cstheme="majorHAnsi"/>
          <w:color w:val="000000"/>
          <w:sz w:val="19"/>
          <w:szCs w:val="19"/>
          <w:lang w:val="en-IN"/>
        </w:rPr>
        <w:br/>
      </w:r>
      <w:r w:rsidRPr="00CE53D2">
        <w:rPr>
          <w:rFonts w:asciiTheme="majorHAnsi" w:hAnsiTheme="majorHAnsi" w:cstheme="majorHAnsi"/>
          <w:sz w:val="19"/>
          <w:szCs w:val="19"/>
        </w:rPr>
        <w:t>"The substrate cost is a fraction of the total finished wafer value," said Dan Melchior, Sales Manager for Semiconductor Products at Vitrek. "When bare wafer defects trigger yield loss after multiple process steps, recovery costs from a single compromised lot can reach six figures. The Proforma 300i offers the accuracy needed to catch these issues before a wafer enters the fab process”.</w:t>
      </w:r>
    </w:p>
    <w:p w14:paraId="48FCB57E" w14:textId="77777777" w:rsidR="00C26AE6" w:rsidRPr="00CE53D2" w:rsidRDefault="00C26AE6" w:rsidP="006F2C5B">
      <w:pPr>
        <w:spacing w:line="240" w:lineRule="auto"/>
        <w:rPr>
          <w:rFonts w:asciiTheme="majorHAnsi" w:hAnsiTheme="majorHAnsi" w:cstheme="majorHAnsi"/>
          <w:sz w:val="19"/>
          <w:szCs w:val="19"/>
        </w:rPr>
      </w:pPr>
    </w:p>
    <w:p w14:paraId="1E45D857" w14:textId="77777777" w:rsidR="00E15A0B" w:rsidRPr="00CE53D2" w:rsidRDefault="00E15A0B" w:rsidP="006F2C5B">
      <w:pPr>
        <w:spacing w:line="240" w:lineRule="auto"/>
        <w:rPr>
          <w:rFonts w:asciiTheme="majorHAnsi" w:hAnsiTheme="majorHAnsi" w:cstheme="majorHAnsi"/>
          <w:color w:val="000000"/>
          <w:sz w:val="19"/>
          <w:szCs w:val="19"/>
          <w:lang w:val="en-IN"/>
        </w:rPr>
      </w:pPr>
      <w:r w:rsidRPr="00CE53D2">
        <w:rPr>
          <w:rFonts w:asciiTheme="majorHAnsi" w:hAnsiTheme="majorHAnsi" w:cstheme="majorHAnsi"/>
          <w:color w:val="000000"/>
          <w:sz w:val="19"/>
          <w:szCs w:val="19"/>
          <w:lang w:val="en-IN"/>
        </w:rPr>
        <w:t>Industry data confirms that proactive incoming inspection delivers measurable ROI. Facilities processing 1,000 wafers monthly that prevent even one defective lot quarterly through systematic incoming inspection can avoid $400,000 to $1.7 million in annual exposure, far exceeding the costs of an early detection metrology system like the 300i.</w:t>
      </w:r>
    </w:p>
    <w:p w14:paraId="788933A8" w14:textId="77777777" w:rsidR="00E15A0B" w:rsidRPr="00CE53D2" w:rsidRDefault="00E15A0B" w:rsidP="006F2C5B">
      <w:pPr>
        <w:spacing w:line="240" w:lineRule="auto"/>
        <w:rPr>
          <w:rFonts w:asciiTheme="majorHAnsi" w:hAnsiTheme="majorHAnsi" w:cstheme="majorHAnsi"/>
          <w:b/>
          <w:bCs/>
          <w:color w:val="000000"/>
          <w:sz w:val="19"/>
          <w:szCs w:val="19"/>
        </w:rPr>
      </w:pPr>
    </w:p>
    <w:p w14:paraId="4B6AA355" w14:textId="77777777" w:rsidR="006F2C5B" w:rsidRPr="00CE53D2" w:rsidRDefault="00E15A0B" w:rsidP="006F2C5B">
      <w:pPr>
        <w:spacing w:line="240" w:lineRule="auto"/>
        <w:rPr>
          <w:rFonts w:asciiTheme="majorHAnsi" w:hAnsiTheme="majorHAnsi" w:cstheme="majorHAnsi"/>
          <w:b/>
          <w:bCs/>
          <w:color w:val="000000"/>
          <w:sz w:val="19"/>
          <w:szCs w:val="19"/>
        </w:rPr>
      </w:pPr>
      <w:r w:rsidRPr="00CE53D2">
        <w:rPr>
          <w:rFonts w:asciiTheme="majorHAnsi" w:hAnsiTheme="majorHAnsi" w:cstheme="majorHAnsi"/>
          <w:b/>
          <w:bCs/>
          <w:color w:val="000000"/>
          <w:sz w:val="19"/>
          <w:szCs w:val="19"/>
        </w:rPr>
        <w:t>Precision Capacitance Measurement for Critical Parameters</w:t>
      </w:r>
    </w:p>
    <w:p w14:paraId="1BEA1BB4" w14:textId="4D1C22AA" w:rsidR="00E15A0B" w:rsidRPr="00CE53D2" w:rsidRDefault="00E15A0B" w:rsidP="006F2C5B">
      <w:pPr>
        <w:spacing w:line="240" w:lineRule="auto"/>
        <w:rPr>
          <w:rFonts w:asciiTheme="majorHAnsi" w:hAnsiTheme="majorHAnsi" w:cstheme="majorHAnsi"/>
          <w:color w:val="000000"/>
          <w:sz w:val="19"/>
          <w:szCs w:val="19"/>
        </w:rPr>
      </w:pPr>
      <w:r w:rsidRPr="00CE53D2">
        <w:rPr>
          <w:rFonts w:asciiTheme="majorHAnsi" w:hAnsiTheme="majorHAnsi" w:cstheme="majorHAnsi"/>
          <w:color w:val="000000"/>
          <w:sz w:val="19"/>
          <w:szCs w:val="19"/>
        </w:rPr>
        <w:t xml:space="preserve">The </w:t>
      </w:r>
      <w:r w:rsidRPr="00CE53D2">
        <w:rPr>
          <w:rFonts w:asciiTheme="majorHAnsi" w:hAnsiTheme="majorHAnsi" w:cstheme="majorHAnsi"/>
          <w:bCs/>
          <w:color w:val="000000"/>
          <w:sz w:val="19"/>
          <w:szCs w:val="19"/>
        </w:rPr>
        <w:t>Proforma 300i</w:t>
      </w:r>
      <w:r w:rsidRPr="00CE53D2">
        <w:rPr>
          <w:rFonts w:asciiTheme="majorHAnsi" w:hAnsiTheme="majorHAnsi" w:cstheme="majorHAnsi"/>
          <w:color w:val="000000"/>
          <w:sz w:val="19"/>
          <w:szCs w:val="19"/>
        </w:rPr>
        <w:t xml:space="preserve"> uses </w:t>
      </w:r>
      <w:proofErr w:type="spellStart"/>
      <w:r w:rsidRPr="00CE53D2">
        <w:rPr>
          <w:rFonts w:asciiTheme="majorHAnsi" w:hAnsiTheme="majorHAnsi" w:cstheme="majorHAnsi"/>
          <w:color w:val="000000"/>
          <w:sz w:val="19"/>
          <w:szCs w:val="19"/>
        </w:rPr>
        <w:t>Vitrek’s</w:t>
      </w:r>
      <w:proofErr w:type="spellEnd"/>
      <w:r w:rsidRPr="00CE53D2">
        <w:rPr>
          <w:rFonts w:asciiTheme="majorHAnsi" w:hAnsiTheme="majorHAnsi" w:cstheme="majorHAnsi"/>
          <w:color w:val="000000"/>
          <w:sz w:val="19"/>
          <w:szCs w:val="19"/>
        </w:rPr>
        <w:t xml:space="preserve"> proprietary </w:t>
      </w:r>
      <w:r w:rsidRPr="00CE53D2">
        <w:rPr>
          <w:rFonts w:asciiTheme="majorHAnsi" w:hAnsiTheme="majorHAnsi" w:cstheme="majorHAnsi"/>
          <w:bCs/>
          <w:color w:val="000000"/>
          <w:sz w:val="19"/>
          <w:szCs w:val="19"/>
        </w:rPr>
        <w:t>capacitance-based technology</w:t>
      </w:r>
      <w:r w:rsidRPr="00CE53D2">
        <w:rPr>
          <w:rFonts w:asciiTheme="majorHAnsi" w:hAnsiTheme="majorHAnsi" w:cstheme="majorHAnsi"/>
          <w:color w:val="000000"/>
          <w:sz w:val="19"/>
          <w:szCs w:val="19"/>
        </w:rPr>
        <w:t xml:space="preserve"> for non-contact, and non-destructive wafer geometry inspection. It measures </w:t>
      </w:r>
      <w:r w:rsidRPr="00CE53D2">
        <w:rPr>
          <w:rFonts w:asciiTheme="majorHAnsi" w:hAnsiTheme="majorHAnsi" w:cstheme="majorHAnsi"/>
          <w:bCs/>
          <w:color w:val="000000"/>
          <w:sz w:val="19"/>
          <w:szCs w:val="19"/>
        </w:rPr>
        <w:t>thickness and TTV</w:t>
      </w:r>
      <w:r w:rsidRPr="00CE53D2">
        <w:rPr>
          <w:rFonts w:asciiTheme="majorHAnsi" w:hAnsiTheme="majorHAnsi" w:cstheme="majorHAnsi"/>
          <w:color w:val="000000"/>
          <w:sz w:val="19"/>
          <w:szCs w:val="19"/>
        </w:rPr>
        <w:t xml:space="preserve"> with ±0.25µm accuracy and 0.05µm resolution and performs </w:t>
      </w:r>
      <w:r w:rsidRPr="00CE53D2">
        <w:rPr>
          <w:rFonts w:asciiTheme="majorHAnsi" w:hAnsiTheme="majorHAnsi" w:cstheme="majorHAnsi"/>
          <w:bCs/>
          <w:color w:val="000000"/>
          <w:sz w:val="19"/>
          <w:szCs w:val="19"/>
        </w:rPr>
        <w:t>bow and flatness assessments</w:t>
      </w:r>
      <w:r w:rsidRPr="00CE53D2">
        <w:rPr>
          <w:rFonts w:asciiTheme="majorHAnsi" w:hAnsiTheme="majorHAnsi" w:cstheme="majorHAnsi"/>
          <w:color w:val="000000"/>
          <w:sz w:val="19"/>
          <w:szCs w:val="19"/>
        </w:rPr>
        <w:t xml:space="preserve"> to detect stress and surface variations during in-process testing. </w:t>
      </w:r>
    </w:p>
    <w:p w14:paraId="69B4C8B2" w14:textId="77777777" w:rsidR="0000605E" w:rsidRPr="00CE53D2" w:rsidRDefault="00E15A0B" w:rsidP="006F2C5B">
      <w:pPr>
        <w:pStyle w:val="NormalWeb"/>
        <w:rPr>
          <w:rFonts w:asciiTheme="majorHAnsi" w:eastAsia="Arial" w:hAnsiTheme="majorHAnsi" w:cstheme="majorHAnsi"/>
          <w:color w:val="000000"/>
          <w:sz w:val="19"/>
          <w:szCs w:val="19"/>
          <w:lang w:eastAsia="en-US"/>
        </w:rPr>
      </w:pPr>
      <w:r w:rsidRPr="00CE53D2">
        <w:rPr>
          <w:rFonts w:asciiTheme="majorHAnsi" w:eastAsia="Arial" w:hAnsiTheme="majorHAnsi" w:cstheme="majorHAnsi"/>
          <w:color w:val="000000"/>
          <w:sz w:val="19"/>
          <w:szCs w:val="19"/>
          <w:lang w:eastAsia="en-US"/>
        </w:rPr>
        <w:t xml:space="preserve">Its </w:t>
      </w:r>
      <w:r w:rsidRPr="00CE53D2">
        <w:rPr>
          <w:rFonts w:asciiTheme="majorHAnsi" w:eastAsia="Arial" w:hAnsiTheme="majorHAnsi" w:cstheme="majorHAnsi"/>
          <w:bCs/>
          <w:color w:val="000000"/>
          <w:sz w:val="19"/>
          <w:szCs w:val="19"/>
          <w:lang w:eastAsia="en-US"/>
        </w:rPr>
        <w:t>non-contact design</w:t>
      </w:r>
      <w:r w:rsidRPr="00CE53D2">
        <w:rPr>
          <w:rFonts w:asciiTheme="majorHAnsi" w:eastAsia="Arial" w:hAnsiTheme="majorHAnsi" w:cstheme="majorHAnsi"/>
          <w:color w:val="000000"/>
          <w:sz w:val="19"/>
          <w:szCs w:val="19"/>
          <w:lang w:eastAsia="en-US"/>
        </w:rPr>
        <w:t xml:space="preserve"> works effectively with materials like </w:t>
      </w:r>
      <w:r w:rsidRPr="00CE53D2">
        <w:rPr>
          <w:rFonts w:asciiTheme="majorHAnsi" w:eastAsia="Arial" w:hAnsiTheme="majorHAnsi" w:cstheme="majorHAnsi"/>
          <w:bCs/>
          <w:color w:val="000000"/>
          <w:sz w:val="19"/>
          <w:szCs w:val="19"/>
          <w:lang w:eastAsia="en-US"/>
        </w:rPr>
        <w:t>silicon, GaAs, InP, and sapphire</w:t>
      </w:r>
      <w:r w:rsidRPr="00CE53D2">
        <w:rPr>
          <w:rFonts w:asciiTheme="majorHAnsi" w:eastAsia="Arial" w:hAnsiTheme="majorHAnsi" w:cstheme="majorHAnsi"/>
          <w:color w:val="000000"/>
          <w:sz w:val="19"/>
          <w:szCs w:val="19"/>
          <w:lang w:eastAsia="en-US"/>
        </w:rPr>
        <w:t xml:space="preserve">, and supports wafer sizes from </w:t>
      </w:r>
      <w:r w:rsidRPr="00CE53D2">
        <w:rPr>
          <w:rFonts w:asciiTheme="majorHAnsi" w:eastAsia="Arial" w:hAnsiTheme="majorHAnsi" w:cstheme="majorHAnsi"/>
          <w:bCs/>
          <w:color w:val="000000"/>
          <w:sz w:val="19"/>
          <w:szCs w:val="19"/>
          <w:lang w:eastAsia="en-US"/>
        </w:rPr>
        <w:t>76mm to 300mm</w:t>
      </w:r>
      <w:r w:rsidRPr="00CE53D2">
        <w:rPr>
          <w:rFonts w:asciiTheme="majorHAnsi" w:eastAsia="Arial" w:hAnsiTheme="majorHAnsi" w:cstheme="majorHAnsi"/>
          <w:color w:val="000000"/>
          <w:sz w:val="19"/>
          <w:szCs w:val="19"/>
          <w:lang w:eastAsia="en-US"/>
        </w:rPr>
        <w:t xml:space="preserve">.  Proprietary  </w:t>
      </w:r>
      <w:r w:rsidRPr="00CE53D2">
        <w:rPr>
          <w:rFonts w:asciiTheme="majorHAnsi" w:eastAsia="Arial" w:hAnsiTheme="majorHAnsi" w:cstheme="majorHAnsi"/>
          <w:bCs/>
          <w:color w:val="000000"/>
          <w:sz w:val="19"/>
          <w:szCs w:val="19"/>
          <w:lang w:eastAsia="en-US"/>
        </w:rPr>
        <w:t xml:space="preserve"> sensor technology</w:t>
      </w:r>
      <w:r w:rsidRPr="00CE53D2">
        <w:rPr>
          <w:rFonts w:asciiTheme="majorHAnsi" w:eastAsia="Arial" w:hAnsiTheme="majorHAnsi" w:cstheme="majorHAnsi"/>
          <w:color w:val="000000"/>
          <w:sz w:val="19"/>
          <w:szCs w:val="19"/>
          <w:lang w:eastAsia="en-US"/>
        </w:rPr>
        <w:t xml:space="preserve"> ensures high accuracy without the presence of an electrical ground. With a </w:t>
      </w:r>
      <w:r w:rsidRPr="00CE53D2">
        <w:rPr>
          <w:rFonts w:asciiTheme="majorHAnsi" w:eastAsia="Arial" w:hAnsiTheme="majorHAnsi" w:cstheme="majorHAnsi"/>
          <w:bCs/>
          <w:color w:val="000000"/>
          <w:sz w:val="19"/>
          <w:szCs w:val="19"/>
          <w:lang w:eastAsia="en-US"/>
        </w:rPr>
        <w:t>16.6Hz measurement frequency</w:t>
      </w:r>
      <w:r w:rsidRPr="00CE53D2">
        <w:rPr>
          <w:rFonts w:asciiTheme="majorHAnsi" w:eastAsia="Arial" w:hAnsiTheme="majorHAnsi" w:cstheme="majorHAnsi"/>
          <w:color w:val="000000"/>
          <w:sz w:val="19"/>
          <w:szCs w:val="19"/>
          <w:lang w:eastAsia="en-US"/>
        </w:rPr>
        <w:t xml:space="preserve">, the Proforma 300i enables fast, high-volume inspections. </w:t>
      </w:r>
      <w:r w:rsidRPr="00CE53D2">
        <w:rPr>
          <w:rFonts w:asciiTheme="majorHAnsi" w:eastAsia="Arial" w:hAnsiTheme="majorHAnsi" w:cstheme="majorHAnsi"/>
          <w:bCs/>
          <w:color w:val="000000"/>
          <w:sz w:val="19"/>
          <w:szCs w:val="19"/>
          <w:lang w:eastAsia="en-US"/>
        </w:rPr>
        <w:t>USB and Ethernet connectivity</w:t>
      </w:r>
      <w:r w:rsidRPr="00CE53D2">
        <w:rPr>
          <w:rFonts w:asciiTheme="majorHAnsi" w:eastAsia="Arial" w:hAnsiTheme="majorHAnsi" w:cstheme="majorHAnsi"/>
          <w:color w:val="000000"/>
          <w:sz w:val="19"/>
          <w:szCs w:val="19"/>
          <w:lang w:eastAsia="en-US"/>
        </w:rPr>
        <w:t xml:space="preserve"> allows for easy data collection for </w:t>
      </w:r>
      <w:proofErr w:type="spellStart"/>
      <w:r w:rsidRPr="00CE53D2">
        <w:rPr>
          <w:rFonts w:asciiTheme="majorHAnsi" w:eastAsia="Arial" w:hAnsiTheme="majorHAnsi" w:cstheme="majorHAnsi"/>
          <w:color w:val="000000"/>
          <w:sz w:val="19"/>
          <w:szCs w:val="19"/>
          <w:lang w:eastAsia="en-US"/>
        </w:rPr>
        <w:t>lot</w:t>
      </w:r>
      <w:proofErr w:type="spellEnd"/>
      <w:r w:rsidRPr="00CE53D2">
        <w:rPr>
          <w:rFonts w:asciiTheme="majorHAnsi" w:eastAsia="Arial" w:hAnsiTheme="majorHAnsi" w:cstheme="majorHAnsi"/>
          <w:color w:val="000000"/>
          <w:sz w:val="19"/>
          <w:szCs w:val="19"/>
          <w:lang w:eastAsia="en-US"/>
        </w:rPr>
        <w:t>-to-lot tolerance comparisons.</w:t>
      </w:r>
    </w:p>
    <w:p w14:paraId="58BF5D7F" w14:textId="77777777" w:rsidR="0000605E" w:rsidRPr="00CE53D2" w:rsidRDefault="00E15A0B" w:rsidP="006F2C5B">
      <w:pPr>
        <w:pStyle w:val="NormalWeb"/>
        <w:rPr>
          <w:rFonts w:asciiTheme="majorHAnsi" w:hAnsiTheme="majorHAnsi" w:cstheme="majorHAnsi"/>
          <w:sz w:val="19"/>
          <w:szCs w:val="19"/>
        </w:rPr>
      </w:pPr>
      <w:r w:rsidRPr="00CE53D2">
        <w:rPr>
          <w:rFonts w:asciiTheme="majorHAnsi" w:hAnsiTheme="majorHAnsi" w:cstheme="majorHAnsi"/>
          <w:b/>
          <w:bCs/>
          <w:color w:val="000000"/>
          <w:sz w:val="19"/>
          <w:szCs w:val="19"/>
        </w:rPr>
        <w:t>Protecting Process Equipment from Defective Wafers</w:t>
      </w:r>
      <w:r w:rsidRPr="00CE53D2">
        <w:rPr>
          <w:rFonts w:asciiTheme="majorHAnsi" w:hAnsiTheme="majorHAnsi" w:cstheme="majorHAnsi"/>
          <w:b/>
          <w:bCs/>
          <w:color w:val="000000"/>
          <w:sz w:val="19"/>
          <w:szCs w:val="19"/>
        </w:rPr>
        <w:br/>
      </w:r>
      <w:r w:rsidRPr="00CE53D2">
        <w:rPr>
          <w:rFonts w:asciiTheme="majorHAnsi" w:hAnsiTheme="majorHAnsi" w:cstheme="majorHAnsi"/>
          <w:sz w:val="19"/>
          <w:szCs w:val="19"/>
        </w:rPr>
        <w:t xml:space="preserve">"Process equipment protection is arguably more critical than material loss prevention," noted Melchior. "A defective wafer that compromises a lithography tool can result in unplanned cleaning cycles at downtime costs of tens of thousands of dollars per hour, plus repair expenses that can reach six figures for advanced systems. The Proforma 300i's precision geometry measurement can safeguard against both wafer yield losses and capital equipment maintenance investments. We have prototypes for sensors and amplifiers that are even more precise than our most popular wafer measurement products, but we have not been pushed to deliver them.  </w:t>
      </w:r>
    </w:p>
    <w:p w14:paraId="253360F0" w14:textId="77777777" w:rsidR="006F2C5B" w:rsidRPr="00CE53D2" w:rsidRDefault="00E15A0B" w:rsidP="006F2C5B">
      <w:pPr>
        <w:pStyle w:val="NormalWeb"/>
        <w:rPr>
          <w:rFonts w:asciiTheme="majorHAnsi" w:hAnsiTheme="majorHAnsi" w:cstheme="majorHAnsi"/>
          <w:color w:val="000000" w:themeColor="text1"/>
          <w:sz w:val="19"/>
          <w:szCs w:val="19"/>
        </w:rPr>
      </w:pPr>
      <w:r w:rsidRPr="00CE53D2">
        <w:rPr>
          <w:rFonts w:asciiTheme="majorHAnsi" w:hAnsiTheme="majorHAnsi" w:cstheme="majorHAnsi"/>
          <w:sz w:val="19"/>
          <w:szCs w:val="19"/>
        </w:rPr>
        <w:t>"</w:t>
      </w:r>
      <w:r w:rsidRPr="00CE53D2">
        <w:rPr>
          <w:rFonts w:asciiTheme="majorHAnsi" w:hAnsiTheme="majorHAnsi" w:cstheme="majorHAnsi"/>
          <w:b/>
          <w:bCs/>
          <w:color w:val="000000" w:themeColor="text1"/>
          <w:sz w:val="19"/>
          <w:szCs w:val="19"/>
        </w:rPr>
        <w:t>Supplier Validation and Quality Assurance</w:t>
      </w:r>
      <w:r w:rsidR="006F2C5B" w:rsidRPr="00CE53D2">
        <w:rPr>
          <w:rFonts w:asciiTheme="majorHAnsi" w:hAnsiTheme="majorHAnsi" w:cstheme="majorHAnsi"/>
          <w:b/>
          <w:bCs/>
          <w:color w:val="000000" w:themeColor="text1"/>
          <w:sz w:val="19"/>
          <w:szCs w:val="19"/>
        </w:rPr>
        <w:br/>
      </w:r>
      <w:r w:rsidRPr="00CE53D2">
        <w:rPr>
          <w:rFonts w:asciiTheme="majorHAnsi" w:hAnsiTheme="majorHAnsi" w:cstheme="majorHAnsi"/>
          <w:color w:val="000000" w:themeColor="text1"/>
          <w:sz w:val="19"/>
          <w:szCs w:val="19"/>
        </w:rPr>
        <w:t xml:space="preserve">The non-contact Proforma 300i scans each wafer comprehensively, eliminating the need for sampling or destructive analysis. It works without compromising the wafer surface, reducing sample waste and better aligning processes with both efficiency and sustainability goals.  </w:t>
      </w:r>
    </w:p>
    <w:p w14:paraId="3259BF81" w14:textId="0BBDC556" w:rsidR="009C6E7C" w:rsidRPr="006F2C5B" w:rsidRDefault="00AB55C0" w:rsidP="006F2C5B">
      <w:pPr>
        <w:pStyle w:val="NormalWeb"/>
        <w:rPr>
          <w:rFonts w:asciiTheme="majorHAnsi" w:hAnsiTheme="majorHAnsi" w:cstheme="majorHAnsi"/>
          <w:b/>
          <w:bCs/>
          <w:i/>
          <w:iCs/>
          <w:color w:val="000000" w:themeColor="text1"/>
          <w:sz w:val="18"/>
          <w:szCs w:val="18"/>
        </w:rPr>
      </w:pPr>
      <w:r w:rsidRPr="57642787">
        <w:rPr>
          <w:rFonts w:asciiTheme="majorHAnsi" w:eastAsia="Calibri" w:hAnsiTheme="majorHAnsi" w:cstheme="majorBidi"/>
          <w:b/>
          <w:bCs/>
          <w:color w:val="000000" w:themeColor="text1"/>
          <w:sz w:val="20"/>
          <w:szCs w:val="20"/>
          <w:lang w:val="en-US"/>
        </w:rPr>
        <w:t xml:space="preserve">About </w:t>
      </w:r>
      <w:r w:rsidR="008169F5" w:rsidRPr="57642787">
        <w:rPr>
          <w:rFonts w:asciiTheme="majorHAnsi" w:eastAsia="Calibri" w:hAnsiTheme="majorHAnsi" w:cstheme="majorBidi"/>
          <w:b/>
          <w:bCs/>
          <w:color w:val="000000" w:themeColor="text1"/>
          <w:sz w:val="20"/>
          <w:szCs w:val="20"/>
          <w:lang w:val="en-US"/>
        </w:rPr>
        <w:t>Vitrek</w:t>
      </w:r>
      <w:r w:rsidR="00156D02">
        <w:rPr>
          <w:rFonts w:asciiTheme="majorHAnsi" w:eastAsia="Calibri" w:hAnsiTheme="majorHAnsi" w:cstheme="majorBidi"/>
          <w:b/>
          <w:bCs/>
          <w:color w:val="000000" w:themeColor="text1"/>
          <w:sz w:val="20"/>
          <w:szCs w:val="20"/>
          <w:lang w:val="en-US"/>
        </w:rPr>
        <w:t>, LLC and the MTI Instruments Line of Metrology Tools</w:t>
      </w:r>
    </w:p>
    <w:p w14:paraId="0E1C86F7" w14:textId="13C06F45" w:rsidR="00BF0743" w:rsidRPr="00A9529A" w:rsidRDefault="00AB55C0" w:rsidP="005C21A3">
      <w:pPr>
        <w:rPr>
          <w:rFonts w:asciiTheme="majorHAnsi" w:hAnsiTheme="majorHAnsi" w:cstheme="majorHAnsi"/>
          <w:i/>
          <w:iCs/>
          <w:color w:val="000000"/>
          <w:sz w:val="18"/>
          <w:szCs w:val="18"/>
        </w:rPr>
        <w:sectPr w:rsidR="00BF0743" w:rsidRPr="00A9529A" w:rsidSect="00124DC6">
          <w:pgSz w:w="12240" w:h="15840"/>
          <w:pgMar w:top="720" w:right="720" w:bottom="720" w:left="720" w:header="720" w:footer="720" w:gutter="0"/>
          <w:pgNumType w:start="1"/>
          <w:cols w:space="720"/>
          <w:docGrid w:linePitch="299"/>
        </w:sectPr>
      </w:pPr>
      <w:r w:rsidRPr="00A9529A">
        <w:rPr>
          <w:rFonts w:ascii="Calibri" w:hAnsi="Calibri" w:cs="Calibri"/>
          <w:i/>
          <w:iCs/>
          <w:noProof/>
          <w:sz w:val="18"/>
          <w:szCs w:val="18"/>
        </w:rPr>
        <w:drawing>
          <wp:anchor distT="0" distB="0" distL="0" distR="0" simplePos="0" relativeHeight="251650048" behindDoc="0" locked="0" layoutInCell="1" hidden="0" allowOverlap="1" wp14:anchorId="2CBA9DF2" wp14:editId="7D682F0C">
            <wp:simplePos x="0" y="0"/>
            <wp:positionH relativeFrom="column">
              <wp:posOffset>28575</wp:posOffset>
            </wp:positionH>
            <wp:positionV relativeFrom="paragraph">
              <wp:posOffset>13335</wp:posOffset>
            </wp:positionV>
            <wp:extent cx="781050" cy="647700"/>
            <wp:effectExtent l="0" t="0" r="0" b="0"/>
            <wp:wrapSquare wrapText="bothSides" distT="0" distB="0" distL="0" distR="0"/>
            <wp:docPr id="7" name="image3.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close up of a sign&#10;&#10;Description automatically generated"/>
                    <pic:cNvPicPr preferRelativeResize="0"/>
                  </pic:nvPicPr>
                  <pic:blipFill>
                    <a:blip r:embed="rId21"/>
                    <a:srcRect b="12524"/>
                    <a:stretch>
                      <a:fillRect/>
                    </a:stretch>
                  </pic:blipFill>
                  <pic:spPr>
                    <a:xfrm>
                      <a:off x="0" y="0"/>
                      <a:ext cx="781050" cy="647700"/>
                    </a:xfrm>
                    <a:prstGeom prst="rect">
                      <a:avLst/>
                    </a:prstGeom>
                    <a:ln/>
                  </pic:spPr>
                </pic:pic>
              </a:graphicData>
            </a:graphic>
            <wp14:sizeRelH relativeFrom="margin">
              <wp14:pctWidth>0</wp14:pctWidth>
            </wp14:sizeRelH>
            <wp14:sizeRelV relativeFrom="margin">
              <wp14:pctHeight>0</wp14:pctHeight>
            </wp14:sizeRelV>
          </wp:anchor>
        </w:drawing>
      </w:r>
      <w:r w:rsidR="009D3AF8" w:rsidRPr="00A9529A">
        <w:rPr>
          <w:rFonts w:ascii="Calibri" w:hAnsi="Calibri" w:cs="Calibri"/>
          <w:i/>
          <w:iCs/>
          <w:sz w:val="18"/>
          <w:szCs w:val="18"/>
          <w:lang w:val="en-US"/>
        </w:rPr>
        <w:t xml:space="preserve">Vitrek </w:t>
      </w:r>
      <w:r w:rsidR="005C21A3">
        <w:rPr>
          <w:rFonts w:ascii="Calibri" w:hAnsi="Calibri" w:cs="Calibri"/>
          <w:i/>
          <w:iCs/>
          <w:sz w:val="18"/>
          <w:szCs w:val="18"/>
          <w:lang w:val="en-US"/>
        </w:rPr>
        <w:t xml:space="preserve">makes and sells a variety of tools for </w:t>
      </w:r>
      <w:r w:rsidR="00742092">
        <w:rPr>
          <w:rFonts w:ascii="Calibri" w:hAnsi="Calibri" w:cs="Calibri"/>
          <w:i/>
          <w:iCs/>
          <w:sz w:val="18"/>
          <w:szCs w:val="18"/>
          <w:lang w:val="en-US"/>
        </w:rPr>
        <w:t xml:space="preserve">semiconductor manufacturers under the MTI Instruments brand. These include the best-in-class </w:t>
      </w:r>
      <w:proofErr w:type="spellStart"/>
      <w:r w:rsidR="006F6529">
        <w:rPr>
          <w:rFonts w:ascii="Calibri" w:hAnsi="Calibri" w:cs="Calibri"/>
          <w:i/>
          <w:iCs/>
          <w:sz w:val="18"/>
          <w:szCs w:val="18"/>
          <w:lang w:val="en-US"/>
        </w:rPr>
        <w:t>Accumeasure</w:t>
      </w:r>
      <w:proofErr w:type="spellEnd"/>
      <w:r w:rsidR="00D75446">
        <w:rPr>
          <w:rFonts w:ascii="Calibri" w:hAnsi="Calibri" w:cs="Calibri"/>
          <w:i/>
          <w:iCs/>
          <w:sz w:val="18"/>
          <w:szCs w:val="18"/>
          <w:lang w:val="en-US"/>
        </w:rPr>
        <w:t>™</w:t>
      </w:r>
      <w:r w:rsidR="006F6529">
        <w:rPr>
          <w:rFonts w:ascii="Calibri" w:hAnsi="Calibri" w:cs="Calibri"/>
          <w:i/>
          <w:iCs/>
          <w:sz w:val="18"/>
          <w:szCs w:val="18"/>
          <w:lang w:val="en-US"/>
        </w:rPr>
        <w:t xml:space="preserve"> capacitance probe sensors and PCB-based amplif</w:t>
      </w:r>
      <w:r w:rsidR="00AD4C32">
        <w:rPr>
          <w:rFonts w:ascii="Calibri" w:hAnsi="Calibri" w:cs="Calibri"/>
          <w:i/>
          <w:iCs/>
          <w:sz w:val="18"/>
          <w:szCs w:val="18"/>
          <w:lang w:val="en-US"/>
        </w:rPr>
        <w:t xml:space="preserve">iers as well as their </w:t>
      </w:r>
      <w:proofErr w:type="spellStart"/>
      <w:r w:rsidR="00AD4C32">
        <w:rPr>
          <w:rFonts w:ascii="Calibri" w:hAnsi="Calibri" w:cs="Calibri"/>
          <w:i/>
          <w:iCs/>
          <w:sz w:val="18"/>
          <w:szCs w:val="18"/>
          <w:lang w:val="en-US"/>
        </w:rPr>
        <w:t>Protrak</w:t>
      </w:r>
      <w:proofErr w:type="spellEnd"/>
      <w:r w:rsidR="00AD4C32">
        <w:rPr>
          <w:rFonts w:ascii="Calibri" w:hAnsi="Calibri" w:cs="Calibri"/>
          <w:i/>
          <w:iCs/>
          <w:sz w:val="18"/>
          <w:szCs w:val="18"/>
          <w:lang w:val="en-US"/>
        </w:rPr>
        <w:t xml:space="preserve">™ laser profile sensors. </w:t>
      </w:r>
      <w:proofErr w:type="spellStart"/>
      <w:r w:rsidR="00AD4C32">
        <w:rPr>
          <w:rFonts w:ascii="Calibri" w:hAnsi="Calibri" w:cs="Calibri"/>
          <w:i/>
          <w:iCs/>
          <w:sz w:val="18"/>
          <w:szCs w:val="18"/>
          <w:lang w:val="en-US"/>
        </w:rPr>
        <w:t>Vitrek’s</w:t>
      </w:r>
      <w:proofErr w:type="spellEnd"/>
      <w:r w:rsidR="00AD4C32">
        <w:rPr>
          <w:rFonts w:ascii="Calibri" w:hAnsi="Calibri" w:cs="Calibri"/>
          <w:i/>
          <w:iCs/>
          <w:sz w:val="18"/>
          <w:szCs w:val="18"/>
          <w:lang w:val="en-US"/>
        </w:rPr>
        <w:t xml:space="preserve"> product portfolio also inc</w:t>
      </w:r>
      <w:r w:rsidR="00D75446">
        <w:rPr>
          <w:rFonts w:ascii="Calibri" w:hAnsi="Calibri" w:cs="Calibri"/>
          <w:i/>
          <w:iCs/>
          <w:sz w:val="18"/>
          <w:szCs w:val="18"/>
          <w:lang w:val="en-US"/>
        </w:rPr>
        <w:t>l</w:t>
      </w:r>
      <w:r w:rsidR="00AD4C32">
        <w:rPr>
          <w:rFonts w:ascii="Calibri" w:hAnsi="Calibri" w:cs="Calibri"/>
          <w:i/>
          <w:iCs/>
          <w:sz w:val="18"/>
          <w:szCs w:val="18"/>
          <w:lang w:val="en-US"/>
        </w:rPr>
        <w:t>udes V</w:t>
      </w:r>
      <w:r w:rsidR="00124DC6">
        <w:rPr>
          <w:rFonts w:ascii="Calibri" w:hAnsi="Calibri" w:cs="Calibri"/>
          <w:i/>
          <w:iCs/>
          <w:sz w:val="18"/>
          <w:szCs w:val="18"/>
          <w:lang w:val="en-US"/>
        </w:rPr>
        <w:t xml:space="preserve">itrek </w:t>
      </w:r>
      <w:proofErr w:type="spellStart"/>
      <w:r w:rsidR="00124DC6">
        <w:rPr>
          <w:rFonts w:ascii="Calibri" w:hAnsi="Calibri" w:cs="Calibri"/>
          <w:i/>
          <w:iCs/>
          <w:sz w:val="18"/>
          <w:szCs w:val="18"/>
          <w:lang w:val="en-US"/>
        </w:rPr>
        <w:t>hipot</w:t>
      </w:r>
      <w:proofErr w:type="spellEnd"/>
      <w:r w:rsidR="00124DC6">
        <w:rPr>
          <w:rFonts w:ascii="Calibri" w:hAnsi="Calibri" w:cs="Calibri"/>
          <w:i/>
          <w:iCs/>
          <w:sz w:val="18"/>
          <w:szCs w:val="18"/>
          <w:lang w:val="en-US"/>
        </w:rPr>
        <w:t xml:space="preserve"> testers and power analyzers as well as the </w:t>
      </w:r>
      <w:proofErr w:type="spellStart"/>
      <w:r w:rsidR="00124DC6">
        <w:rPr>
          <w:rFonts w:ascii="Calibri" w:hAnsi="Calibri" w:cs="Calibri"/>
          <w:i/>
          <w:iCs/>
          <w:sz w:val="18"/>
          <w:szCs w:val="18"/>
          <w:lang w:val="en-US"/>
        </w:rPr>
        <w:t>GaGe</w:t>
      </w:r>
      <w:proofErr w:type="spellEnd"/>
      <w:r w:rsidR="00124DC6">
        <w:rPr>
          <w:rFonts w:ascii="Calibri" w:hAnsi="Calibri" w:cs="Calibri"/>
          <w:i/>
          <w:iCs/>
          <w:sz w:val="18"/>
          <w:szCs w:val="18"/>
          <w:lang w:val="en-US"/>
        </w:rPr>
        <w:t xml:space="preserve"> high-resolution, high-speed digitizer cards, which are used for semiconductor packaging as well as wafer productio</w:t>
      </w:r>
      <w:r w:rsidR="00D75446">
        <w:rPr>
          <w:rFonts w:ascii="Calibri" w:hAnsi="Calibri" w:cs="Calibri"/>
          <w:i/>
          <w:iCs/>
          <w:sz w:val="18"/>
          <w:szCs w:val="18"/>
          <w:lang w:val="en-US"/>
        </w:rPr>
        <w:t>n.</w:t>
      </w:r>
    </w:p>
    <w:p w14:paraId="2810EA9D" w14:textId="7FF08861" w:rsidR="009C6E7C" w:rsidRPr="00D604A1" w:rsidRDefault="009C6E7C" w:rsidP="00124DC6">
      <w:pPr>
        <w:spacing w:before="60"/>
      </w:pPr>
    </w:p>
    <w:p w14:paraId="04D62B76" w14:textId="4492A4A6" w:rsidR="009C6E7C" w:rsidRPr="00D604A1" w:rsidRDefault="009C6E7C" w:rsidP="57642787">
      <w:pPr>
        <w:spacing w:line="240" w:lineRule="auto"/>
        <w:ind w:right="-540"/>
        <w:rPr>
          <w:rFonts w:asciiTheme="majorHAnsi" w:eastAsia="Calibri" w:hAnsiTheme="majorHAnsi" w:cstheme="majorBidi"/>
          <w:color w:val="000000"/>
          <w:sz w:val="16"/>
          <w:szCs w:val="16"/>
        </w:rPr>
      </w:pPr>
    </w:p>
    <w:sectPr w:rsidR="009C6E7C" w:rsidRPr="00D604A1">
      <w:type w:val="continuous"/>
      <w:pgSz w:w="12240" w:h="15840"/>
      <w:pgMar w:top="1440" w:right="1440" w:bottom="1440" w:left="1440" w:header="720" w:footer="720" w:gutter="0"/>
      <w:pgNumType w:start="1"/>
      <w:cols w:num="2" w:space="720" w:equalWidth="0">
        <w:col w:w="4320" w:space="720"/>
        <w:col w:w="43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z7nJT242HNqnh+" int2:id="KAoqEV5V">
      <int2:state int2:value="Rejected" int2:type="AugLoop_Text_Critique"/>
    </int2:textHash>
    <int2:textHash int2:hashCode="e6HrvDTicliTLS" int2:id="rBxpMXoo">
      <int2:state int2:value="Rejected" int2:type="AugLoop_Text_Critique"/>
    </int2:textHash>
    <int2:textHash int2:hashCode="ohdRNDeVF9bUXQ" int2:id="QH6AmSB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8723D"/>
    <w:multiLevelType w:val="hybridMultilevel"/>
    <w:tmpl w:val="BEB4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C51D2"/>
    <w:multiLevelType w:val="hybridMultilevel"/>
    <w:tmpl w:val="03C4F772"/>
    <w:lvl w:ilvl="0" w:tplc="75082D6C">
      <w:start w:val="1"/>
      <w:numFmt w:val="decimal"/>
      <w:lvlText w:val="%1."/>
      <w:lvlJc w:val="left"/>
      <w:pPr>
        <w:ind w:left="720" w:hanging="360"/>
      </w:pPr>
      <w:rPr>
        <w:rFonts w:hint="default"/>
        <w:b w:val="0"/>
        <w:bCs w:val="0"/>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19220723">
    <w:abstractNumId w:val="0"/>
  </w:num>
  <w:num w:numId="2" w16cid:durableId="83795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E7C"/>
    <w:rsid w:val="0000605E"/>
    <w:rsid w:val="00014324"/>
    <w:rsid w:val="00017297"/>
    <w:rsid w:val="0002122F"/>
    <w:rsid w:val="00035A41"/>
    <w:rsid w:val="00036012"/>
    <w:rsid w:val="0004447A"/>
    <w:rsid w:val="0005380E"/>
    <w:rsid w:val="00054B5E"/>
    <w:rsid w:val="0005738F"/>
    <w:rsid w:val="0007524F"/>
    <w:rsid w:val="0009189F"/>
    <w:rsid w:val="00095DE1"/>
    <w:rsid w:val="000C706B"/>
    <w:rsid w:val="000D56BE"/>
    <w:rsid w:val="00102A56"/>
    <w:rsid w:val="0010663C"/>
    <w:rsid w:val="00124DC6"/>
    <w:rsid w:val="0014680C"/>
    <w:rsid w:val="0015034F"/>
    <w:rsid w:val="00156D02"/>
    <w:rsid w:val="00191352"/>
    <w:rsid w:val="00195E87"/>
    <w:rsid w:val="001B6B22"/>
    <w:rsid w:val="001D302E"/>
    <w:rsid w:val="001D7E5B"/>
    <w:rsid w:val="002046D2"/>
    <w:rsid w:val="00230D77"/>
    <w:rsid w:val="0025088B"/>
    <w:rsid w:val="00266753"/>
    <w:rsid w:val="00292AD5"/>
    <w:rsid w:val="002954B2"/>
    <w:rsid w:val="002B3414"/>
    <w:rsid w:val="002B61E3"/>
    <w:rsid w:val="002B740B"/>
    <w:rsid w:val="002D4B6E"/>
    <w:rsid w:val="002D5FDE"/>
    <w:rsid w:val="0035292C"/>
    <w:rsid w:val="003674BB"/>
    <w:rsid w:val="00376601"/>
    <w:rsid w:val="003C2679"/>
    <w:rsid w:val="003C55A2"/>
    <w:rsid w:val="003D77C1"/>
    <w:rsid w:val="003F4E81"/>
    <w:rsid w:val="004005D9"/>
    <w:rsid w:val="004062E5"/>
    <w:rsid w:val="0043521A"/>
    <w:rsid w:val="00484B72"/>
    <w:rsid w:val="004A0472"/>
    <w:rsid w:val="004B5CDC"/>
    <w:rsid w:val="004C1DC1"/>
    <w:rsid w:val="004C671D"/>
    <w:rsid w:val="004E4A0C"/>
    <w:rsid w:val="00502264"/>
    <w:rsid w:val="005134F2"/>
    <w:rsid w:val="00530F2F"/>
    <w:rsid w:val="00547713"/>
    <w:rsid w:val="005503D4"/>
    <w:rsid w:val="005511AE"/>
    <w:rsid w:val="005618A8"/>
    <w:rsid w:val="005648D1"/>
    <w:rsid w:val="00587701"/>
    <w:rsid w:val="00597EB0"/>
    <w:rsid w:val="005C21A3"/>
    <w:rsid w:val="005C4DDC"/>
    <w:rsid w:val="005D5B50"/>
    <w:rsid w:val="005D62C5"/>
    <w:rsid w:val="00631677"/>
    <w:rsid w:val="0063C149"/>
    <w:rsid w:val="00641ECC"/>
    <w:rsid w:val="00664D5F"/>
    <w:rsid w:val="00695A82"/>
    <w:rsid w:val="006A361B"/>
    <w:rsid w:val="006E1A3B"/>
    <w:rsid w:val="006F2C5B"/>
    <w:rsid w:val="006F6529"/>
    <w:rsid w:val="00707B35"/>
    <w:rsid w:val="00742092"/>
    <w:rsid w:val="00773A05"/>
    <w:rsid w:val="00783B97"/>
    <w:rsid w:val="007B2593"/>
    <w:rsid w:val="007C0551"/>
    <w:rsid w:val="007C362C"/>
    <w:rsid w:val="007D3FA5"/>
    <w:rsid w:val="0081573E"/>
    <w:rsid w:val="008169F5"/>
    <w:rsid w:val="00826131"/>
    <w:rsid w:val="008454B9"/>
    <w:rsid w:val="00896E0F"/>
    <w:rsid w:val="008A4C83"/>
    <w:rsid w:val="008C313D"/>
    <w:rsid w:val="00914FFB"/>
    <w:rsid w:val="0092141B"/>
    <w:rsid w:val="00921786"/>
    <w:rsid w:val="00924599"/>
    <w:rsid w:val="009416D8"/>
    <w:rsid w:val="0094425B"/>
    <w:rsid w:val="00953EA1"/>
    <w:rsid w:val="00962431"/>
    <w:rsid w:val="00964BE7"/>
    <w:rsid w:val="0097052C"/>
    <w:rsid w:val="0097347E"/>
    <w:rsid w:val="00982764"/>
    <w:rsid w:val="009A10D8"/>
    <w:rsid w:val="009A7C06"/>
    <w:rsid w:val="009C2618"/>
    <w:rsid w:val="009C6E7C"/>
    <w:rsid w:val="009D3AF8"/>
    <w:rsid w:val="00A10425"/>
    <w:rsid w:val="00A15EAA"/>
    <w:rsid w:val="00A176C7"/>
    <w:rsid w:val="00A234BF"/>
    <w:rsid w:val="00A350AD"/>
    <w:rsid w:val="00A43789"/>
    <w:rsid w:val="00A60B11"/>
    <w:rsid w:val="00A74252"/>
    <w:rsid w:val="00A9529A"/>
    <w:rsid w:val="00AA07EA"/>
    <w:rsid w:val="00AA42F4"/>
    <w:rsid w:val="00AA52D4"/>
    <w:rsid w:val="00AB55C0"/>
    <w:rsid w:val="00AC0028"/>
    <w:rsid w:val="00AC62A2"/>
    <w:rsid w:val="00AD4C32"/>
    <w:rsid w:val="00AF50D8"/>
    <w:rsid w:val="00AF596A"/>
    <w:rsid w:val="00B42F92"/>
    <w:rsid w:val="00B630AA"/>
    <w:rsid w:val="00B83C27"/>
    <w:rsid w:val="00BC089C"/>
    <w:rsid w:val="00BC0F59"/>
    <w:rsid w:val="00BD009D"/>
    <w:rsid w:val="00BE3813"/>
    <w:rsid w:val="00BE3CF4"/>
    <w:rsid w:val="00BF0743"/>
    <w:rsid w:val="00C26AE6"/>
    <w:rsid w:val="00C34C04"/>
    <w:rsid w:val="00C90EB6"/>
    <w:rsid w:val="00C92D71"/>
    <w:rsid w:val="00CA2647"/>
    <w:rsid w:val="00CA4638"/>
    <w:rsid w:val="00CA75D1"/>
    <w:rsid w:val="00CC4188"/>
    <w:rsid w:val="00CD04E7"/>
    <w:rsid w:val="00CD792B"/>
    <w:rsid w:val="00CD7D4F"/>
    <w:rsid w:val="00CE53D2"/>
    <w:rsid w:val="00D252C2"/>
    <w:rsid w:val="00D30586"/>
    <w:rsid w:val="00D36B6B"/>
    <w:rsid w:val="00D5068E"/>
    <w:rsid w:val="00D532B5"/>
    <w:rsid w:val="00D604A1"/>
    <w:rsid w:val="00D75446"/>
    <w:rsid w:val="00DB19EB"/>
    <w:rsid w:val="00DB3143"/>
    <w:rsid w:val="00DB5735"/>
    <w:rsid w:val="00DC029E"/>
    <w:rsid w:val="00DD1212"/>
    <w:rsid w:val="00E15A0B"/>
    <w:rsid w:val="00E16617"/>
    <w:rsid w:val="00E167DF"/>
    <w:rsid w:val="00E248BA"/>
    <w:rsid w:val="00E52F5E"/>
    <w:rsid w:val="00E56D8B"/>
    <w:rsid w:val="00E64631"/>
    <w:rsid w:val="00EA6D7F"/>
    <w:rsid w:val="00EB394C"/>
    <w:rsid w:val="00ED6DE1"/>
    <w:rsid w:val="00EE5BF8"/>
    <w:rsid w:val="00F10E65"/>
    <w:rsid w:val="00F34770"/>
    <w:rsid w:val="00F5710E"/>
    <w:rsid w:val="00F855DB"/>
    <w:rsid w:val="00F95EED"/>
    <w:rsid w:val="00FB0392"/>
    <w:rsid w:val="00FB4B85"/>
    <w:rsid w:val="00FC5D96"/>
    <w:rsid w:val="00FC7C72"/>
    <w:rsid w:val="00FD2A58"/>
    <w:rsid w:val="00FE12B3"/>
    <w:rsid w:val="00FF26A1"/>
    <w:rsid w:val="02921C3B"/>
    <w:rsid w:val="0644B484"/>
    <w:rsid w:val="08574608"/>
    <w:rsid w:val="09C1965F"/>
    <w:rsid w:val="1087D300"/>
    <w:rsid w:val="19101860"/>
    <w:rsid w:val="1FCC335A"/>
    <w:rsid w:val="2206375D"/>
    <w:rsid w:val="24559AF5"/>
    <w:rsid w:val="246E7C56"/>
    <w:rsid w:val="34F53ED3"/>
    <w:rsid w:val="3DD3F0E9"/>
    <w:rsid w:val="43AB101D"/>
    <w:rsid w:val="4512A2DF"/>
    <w:rsid w:val="483DC636"/>
    <w:rsid w:val="4E82FD27"/>
    <w:rsid w:val="5016BDF6"/>
    <w:rsid w:val="541E5038"/>
    <w:rsid w:val="57642787"/>
    <w:rsid w:val="57735BB6"/>
    <w:rsid w:val="5849F671"/>
    <w:rsid w:val="5AF9B2DB"/>
    <w:rsid w:val="5C563E25"/>
    <w:rsid w:val="5E759084"/>
    <w:rsid w:val="5F1E1C24"/>
    <w:rsid w:val="6500227C"/>
    <w:rsid w:val="6515240D"/>
    <w:rsid w:val="67344C59"/>
    <w:rsid w:val="71A90F9B"/>
    <w:rsid w:val="787FAD2C"/>
    <w:rsid w:val="794EC6FE"/>
    <w:rsid w:val="7AFB9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9100"/>
  <w15:docId w15:val="{4C17233B-726F-034E-AB35-64C6CC3B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A4489A"/>
    <w:rPr>
      <w:color w:val="0000FF" w:themeColor="hyperlink"/>
      <w:u w:val="single"/>
    </w:rPr>
  </w:style>
  <w:style w:type="character" w:styleId="UnresolvedMention">
    <w:name w:val="Unresolved Mention"/>
    <w:basedOn w:val="DefaultParagraphFont"/>
    <w:uiPriority w:val="99"/>
    <w:semiHidden/>
    <w:unhideWhenUsed/>
    <w:rsid w:val="00A4489A"/>
    <w:rPr>
      <w:color w:val="605E5C"/>
      <w:shd w:val="clear" w:color="auto" w:fill="E1DFDD"/>
    </w:rPr>
  </w:style>
  <w:style w:type="character" w:styleId="FollowedHyperlink">
    <w:name w:val="FollowedHyperlink"/>
    <w:basedOn w:val="DefaultParagraphFont"/>
    <w:uiPriority w:val="99"/>
    <w:semiHidden/>
    <w:unhideWhenUsed/>
    <w:rsid w:val="002E2C1B"/>
    <w:rPr>
      <w:color w:val="800080" w:themeColor="followedHyperlink"/>
      <w:u w:val="single"/>
    </w:rPr>
  </w:style>
  <w:style w:type="character" w:customStyle="1" w:styleId="xn-location">
    <w:name w:val="xn-location"/>
    <w:basedOn w:val="DefaultParagraphFont"/>
    <w:rsid w:val="009A06FF"/>
  </w:style>
  <w:style w:type="character" w:styleId="CommentReference">
    <w:name w:val="annotation reference"/>
    <w:basedOn w:val="DefaultParagraphFont"/>
    <w:uiPriority w:val="99"/>
    <w:semiHidden/>
    <w:unhideWhenUsed/>
    <w:rsid w:val="00814224"/>
    <w:rPr>
      <w:sz w:val="16"/>
      <w:szCs w:val="16"/>
    </w:rPr>
  </w:style>
  <w:style w:type="paragraph" w:styleId="CommentText">
    <w:name w:val="annotation text"/>
    <w:basedOn w:val="Normal"/>
    <w:link w:val="CommentTextChar"/>
    <w:uiPriority w:val="99"/>
    <w:unhideWhenUsed/>
    <w:rsid w:val="00814224"/>
    <w:pPr>
      <w:spacing w:line="240" w:lineRule="auto"/>
    </w:pPr>
    <w:rPr>
      <w:sz w:val="20"/>
      <w:szCs w:val="20"/>
    </w:rPr>
  </w:style>
  <w:style w:type="character" w:customStyle="1" w:styleId="CommentTextChar">
    <w:name w:val="Comment Text Char"/>
    <w:basedOn w:val="DefaultParagraphFont"/>
    <w:link w:val="CommentText"/>
    <w:uiPriority w:val="99"/>
    <w:rsid w:val="00814224"/>
    <w:rPr>
      <w:sz w:val="20"/>
      <w:szCs w:val="20"/>
    </w:rPr>
  </w:style>
  <w:style w:type="paragraph" w:styleId="CommentSubject">
    <w:name w:val="annotation subject"/>
    <w:basedOn w:val="CommentText"/>
    <w:next w:val="CommentText"/>
    <w:link w:val="CommentSubjectChar"/>
    <w:uiPriority w:val="99"/>
    <w:semiHidden/>
    <w:unhideWhenUsed/>
    <w:rsid w:val="00814224"/>
    <w:rPr>
      <w:b/>
      <w:bCs/>
    </w:rPr>
  </w:style>
  <w:style w:type="character" w:customStyle="1" w:styleId="CommentSubjectChar">
    <w:name w:val="Comment Subject Char"/>
    <w:basedOn w:val="CommentTextChar"/>
    <w:link w:val="CommentSubject"/>
    <w:uiPriority w:val="99"/>
    <w:semiHidden/>
    <w:rsid w:val="00814224"/>
    <w:rPr>
      <w:b/>
      <w:bCs/>
      <w:sz w:val="20"/>
      <w:szCs w:val="20"/>
    </w:rPr>
  </w:style>
  <w:style w:type="paragraph" w:styleId="ListParagraph">
    <w:name w:val="List Paragraph"/>
    <w:basedOn w:val="Normal"/>
    <w:uiPriority w:val="34"/>
    <w:qFormat/>
    <w:rsid w:val="00FE12B3"/>
    <w:pPr>
      <w:ind w:left="720"/>
      <w:contextualSpacing/>
    </w:pPr>
  </w:style>
  <w:style w:type="paragraph" w:styleId="Revision">
    <w:name w:val="Revision"/>
    <w:hidden/>
    <w:uiPriority w:val="99"/>
    <w:semiHidden/>
    <w:rsid w:val="00E248BA"/>
    <w:pPr>
      <w:spacing w:line="240" w:lineRule="auto"/>
    </w:pPr>
  </w:style>
  <w:style w:type="paragraph" w:styleId="Caption">
    <w:name w:val="caption"/>
    <w:basedOn w:val="Normal"/>
    <w:next w:val="Normal"/>
    <w:uiPriority w:val="35"/>
    <w:unhideWhenUsed/>
    <w:qFormat/>
    <w:rsid w:val="00BE3813"/>
    <w:pPr>
      <w:spacing w:after="200" w:line="240" w:lineRule="auto"/>
    </w:pPr>
    <w:rPr>
      <w:i/>
      <w:iCs/>
      <w:color w:val="1F497D" w:themeColor="text2"/>
      <w:sz w:val="18"/>
      <w:szCs w:val="18"/>
    </w:rPr>
  </w:style>
  <w:style w:type="paragraph" w:styleId="NormalWeb">
    <w:name w:val="Normal (Web)"/>
    <w:basedOn w:val="Normal"/>
    <w:uiPriority w:val="99"/>
    <w:unhideWhenUsed/>
    <w:rsid w:val="00E15A0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whitespace-normal">
    <w:name w:val="whitespace-normal"/>
    <w:basedOn w:val="Normal"/>
    <w:rsid w:val="00E15A0B"/>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350689">
      <w:bodyDiv w:val="1"/>
      <w:marLeft w:val="0"/>
      <w:marRight w:val="0"/>
      <w:marTop w:val="0"/>
      <w:marBottom w:val="0"/>
      <w:divBdr>
        <w:top w:val="none" w:sz="0" w:space="0" w:color="auto"/>
        <w:left w:val="none" w:sz="0" w:space="0" w:color="auto"/>
        <w:bottom w:val="none" w:sz="0" w:space="0" w:color="auto"/>
        <w:right w:val="none" w:sz="0" w:space="0" w:color="auto"/>
      </w:divBdr>
    </w:div>
    <w:div w:id="2098402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customXml" Target="ink/ink6.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customXml" Target="ink/ink5.xml"/><Relationship Id="rId2" Type="http://schemas.openxmlformats.org/officeDocument/2006/relationships/customXml" Target="../customXml/item2.xml"/><Relationship Id="rId16" Type="http://schemas.openxmlformats.org/officeDocument/2006/relationships/customXml" Target="ink/ink4.xml"/><Relationship Id="rId20" Type="http://schemas.openxmlformats.org/officeDocument/2006/relationships/hyperlink" Target="https://vitrek.com/mti-instruments/metrology-systems/semiconductor-metrology-syst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customXml" Target="ink/ink3.xml"/><Relationship Id="rId23" Type="http://schemas.openxmlformats.org/officeDocument/2006/relationships/theme" Target="theme/theme1.xml"/><Relationship Id="rId10" Type="http://schemas.openxmlformats.org/officeDocument/2006/relationships/customXml" Target="ink/ink1.xml"/><Relationship Id="rId19" Type="http://schemas.openxmlformats.org/officeDocument/2006/relationships/customXml" Target="ink/ink7.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8.755"/>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0,'0'5,"0"5,0 6,0-4,0-9,0-9,0-4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5.746"/>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3.706"/>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0.975"/>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0.639"/>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29.825"/>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28.572"/>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jYahiq2Eb2mjr1KDnkReSLDYVQ==">AMUW2mUud7RYyGDoWfnufb8Ydkg/kRuh1l9geC7B3nY93MZFQWfk3N+GzlrB8cFEU7asd/6gD1HhYOTeTpsRcwXXJf87J3Ykd417YlUYNUYT2aE5MTCyn+I=</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9dc3e5-c9e9-4c48-96df-a70f7477f30b">
      <Terms xmlns="http://schemas.microsoft.com/office/infopath/2007/PartnerControls"/>
    </lcf76f155ced4ddcb4097134ff3c332f>
    <TaxCatchAll xmlns="6a0ca348-5986-4e0e-b462-35ba3143811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AC765374DFF04693427C9B59B5E54A" ma:contentTypeVersion="12" ma:contentTypeDescription="Create a new document." ma:contentTypeScope="" ma:versionID="d650a6127c95530c565ed8753a026198">
  <xsd:schema xmlns:xsd="http://www.w3.org/2001/XMLSchema" xmlns:xs="http://www.w3.org/2001/XMLSchema" xmlns:p="http://schemas.microsoft.com/office/2006/metadata/properties" xmlns:ns2="939dc3e5-c9e9-4c48-96df-a70f7477f30b" xmlns:ns3="6a0ca348-5986-4e0e-b462-35ba3143811e" targetNamespace="http://schemas.microsoft.com/office/2006/metadata/properties" ma:root="true" ma:fieldsID="d347a777615b59da5c8c64380db6e225" ns2:_="" ns3:_="">
    <xsd:import namespace="939dc3e5-c9e9-4c48-96df-a70f7477f30b"/>
    <xsd:import namespace="6a0ca348-5986-4e0e-b462-35ba31438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dc3e5-c9e9-4c48-96df-a70f7477f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0a8399-529c-4cb0-9b3f-abe6894efc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0ca348-5986-4e0e-b462-35ba314381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f628e6-3dee-40e3-bbe5-7f606fb60754}" ma:internalName="TaxCatchAll" ma:showField="CatchAllData" ma:web="6a0ca348-5986-4e0e-b462-35ba314381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2C59AA-663B-4B06-9CB7-DD8CC529E9B2}">
  <ds:schemaRefs>
    <ds:schemaRef ds:uri="http://schemas.microsoft.com/sharepoint/v3/contenttype/forms"/>
  </ds:schemaRefs>
</ds:datastoreItem>
</file>

<file path=customXml/itemProps3.xml><?xml version="1.0" encoding="utf-8"?>
<ds:datastoreItem xmlns:ds="http://schemas.openxmlformats.org/officeDocument/2006/customXml" ds:itemID="{174DE211-7515-472A-9D87-D28F0ED590F9}">
  <ds:schemaRefs>
    <ds:schemaRef ds:uri="http://schemas.microsoft.com/office/2006/metadata/properties"/>
    <ds:schemaRef ds:uri="http://schemas.microsoft.com/office/infopath/2007/PartnerControls"/>
    <ds:schemaRef ds:uri="939dc3e5-c9e9-4c48-96df-a70f7477f30b"/>
    <ds:schemaRef ds:uri="6a0ca348-5986-4e0e-b462-35ba3143811e"/>
  </ds:schemaRefs>
</ds:datastoreItem>
</file>

<file path=customXml/itemProps4.xml><?xml version="1.0" encoding="utf-8"?>
<ds:datastoreItem xmlns:ds="http://schemas.openxmlformats.org/officeDocument/2006/customXml" ds:itemID="{9EBC6DF5-E01A-48A7-9336-80B94E48F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dc3e5-c9e9-4c48-96df-a70f7477f30b"/>
    <ds:schemaRef ds:uri="6a0ca348-5986-4e0e-b462-35ba31438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674</Words>
  <Characters>3768</Characters>
  <Application>Microsoft Office Word</Application>
  <DocSecurity>0</DocSecurity>
  <Lines>66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Abbott</dc:creator>
  <cp:lastModifiedBy>Suzy Abbott</cp:lastModifiedBy>
  <cp:revision>19</cp:revision>
  <dcterms:created xsi:type="dcterms:W3CDTF">2025-12-03T14:37:00Z</dcterms:created>
  <dcterms:modified xsi:type="dcterms:W3CDTF">2025-12-03T16:24:00Z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0x0101006FAC765374DFF04693427C9B59B5E54A</vt:lpwstr>
  </property>
  <property fmtid="{D5CDD505-2E9C-101B-9397-08002B2CF9AE}" pid="3" name="MediaServiceImageTags">
    <vt:lpwstr/>
  </property>
</Properties>
</file>