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73F3" w14:textId="5CFA4160" w:rsidR="009C6E7C" w:rsidRPr="00D604A1" w:rsidRDefault="009A7C06" w:rsidP="002B61E3">
      <w:pPr>
        <w:spacing w:line="240" w:lineRule="auto"/>
        <w:ind w:left="-450"/>
        <w:rPr>
          <w:rFonts w:asciiTheme="majorHAnsi" w:hAnsiTheme="majorHAnsi" w:cstheme="majorHAnsi"/>
          <w:b/>
          <w:color w:val="000000"/>
          <w:sz w:val="28"/>
          <w:szCs w:val="28"/>
        </w:rPr>
      </w:pPr>
      <w:r>
        <w:rPr>
          <w:rFonts w:asciiTheme="majorHAnsi" w:hAnsiTheme="majorHAnsi" w:cstheme="majorHAnsi"/>
          <w:b/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E652DFC" wp14:editId="3E1DF49F">
                <wp:simplePos x="0" y="0"/>
                <wp:positionH relativeFrom="column">
                  <wp:posOffset>-3266955</wp:posOffset>
                </wp:positionH>
                <wp:positionV relativeFrom="paragraph">
                  <wp:posOffset>1009530</wp:posOffset>
                </wp:positionV>
                <wp:extent cx="360" cy="16920"/>
                <wp:effectExtent l="95250" t="133350" r="114300" b="17399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C3CA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261.5pt;margin-top:71pt;width:8.55pt;height:1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">
                <v:imagedata r:id="rId10" o:title=""/>
              </v:shape>
            </w:pict>
          </mc:Fallback>
        </mc:AlternateContent>
      </w:r>
      <w:r w:rsidR="004005D9">
        <w:rPr>
          <w:rFonts w:asciiTheme="majorHAnsi" w:hAnsiTheme="majorHAnsi" w:cstheme="majorHAnsi"/>
          <w:b/>
          <w:noProof/>
          <w:color w:val="000000"/>
          <w:sz w:val="28"/>
          <w:szCs w:val="28"/>
        </w:rPr>
        <w:drawing>
          <wp:inline distT="0" distB="0" distL="0" distR="0" wp14:anchorId="07AAE0B0" wp14:editId="790500E6">
            <wp:extent cx="6496050" cy="742950"/>
            <wp:effectExtent l="0" t="0" r="0" b="0"/>
            <wp:docPr id="2071264024" name="Picture 1" descr="A blue and whit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64024" name="Picture 1" descr="A blue and white lin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B3DA4" w14:textId="77777777" w:rsidR="002C452D" w:rsidRPr="002C452D" w:rsidRDefault="002C452D" w:rsidP="002C452D">
      <w:pPr>
        <w:pStyle w:val="NormalWeb"/>
        <w:jc w:val="center"/>
        <w:rPr>
          <w:rFonts w:ascii="Arial" w:eastAsiaTheme="majorEastAsia" w:hAnsi="Arial" w:cs="Arial"/>
          <w:b/>
          <w:bCs/>
          <w:sz w:val="28"/>
          <w:szCs w:val="28"/>
        </w:rPr>
      </w:pPr>
      <w:r w:rsidRPr="002C452D">
        <w:rPr>
          <w:rFonts w:ascii="Arial" w:eastAsiaTheme="majorEastAsia" w:hAnsi="Arial" w:cs="Arial"/>
          <w:b/>
          <w:bCs/>
          <w:sz w:val="28"/>
          <w:szCs w:val="28"/>
        </w:rPr>
        <w:t xml:space="preserve">Vitrek to Showcase Transformative </w:t>
      </w:r>
      <w:proofErr w:type="spellStart"/>
      <w:r w:rsidRPr="002C452D">
        <w:rPr>
          <w:rFonts w:ascii="Arial" w:eastAsiaTheme="majorEastAsia" w:hAnsi="Arial" w:cs="Arial"/>
          <w:b/>
          <w:bCs/>
          <w:sz w:val="28"/>
          <w:szCs w:val="28"/>
        </w:rPr>
        <w:t>Accumeasure</w:t>
      </w:r>
      <w:proofErr w:type="spellEnd"/>
      <w:r w:rsidRPr="002C452D">
        <w:rPr>
          <w:rFonts w:ascii="Arial" w:eastAsiaTheme="majorEastAsia" w:hAnsi="Arial" w:cs="Arial"/>
          <w:b/>
          <w:bCs/>
          <w:sz w:val="28"/>
          <w:szCs w:val="28"/>
        </w:rPr>
        <w:t>™ Capacitance Sensors at SEMICON West 2025</w:t>
      </w:r>
    </w:p>
    <w:p w14:paraId="1B34B81A" w14:textId="67D28986" w:rsidR="1087D300" w:rsidRDefault="00B95BA5" w:rsidP="00F10288">
      <w:pPr>
        <w:spacing w:before="120" w:line="240" w:lineRule="auto"/>
        <w:jc w:val="center"/>
        <w:rPr>
          <w:rFonts w:asciiTheme="majorHAnsi" w:eastAsia="Calibri" w:hAnsiTheme="majorHAnsi" w:cstheme="majorBidi"/>
          <w:i/>
          <w:iCs/>
          <w:color w:val="000000" w:themeColor="text1"/>
        </w:rPr>
      </w:pPr>
      <w:r w:rsidRPr="00B95BA5">
        <w:rPr>
          <w:rFonts w:eastAsiaTheme="majorEastAsia"/>
          <w:i/>
          <w:iCs/>
          <w:color w:val="000000" w:themeColor="text1"/>
          <w:sz w:val="24"/>
          <w:szCs w:val="24"/>
        </w:rPr>
        <w:t>Bringing a New a Level of Precision, Affordability for Semiconductor Wafer Makers</w:t>
      </w:r>
      <w:r w:rsidR="005D62C5">
        <w:rPr>
          <w:rFonts w:asciiTheme="majorHAnsi" w:eastAsia="Calibri" w:hAnsiTheme="majorHAnsi" w:cstheme="majorBidi"/>
          <w:i/>
          <w:iCs/>
          <w:color w:val="000000" w:themeColor="text1"/>
        </w:rPr>
        <w:br/>
      </w:r>
      <w:r w:rsidR="00B20993">
        <w:rPr>
          <w:rFonts w:asciiTheme="majorHAnsi" w:eastAsia="Calibri" w:hAnsiTheme="majorHAnsi" w:cstheme="majorBidi"/>
          <w:i/>
          <w:iCs/>
          <w:color w:val="000000" w:themeColor="text1"/>
        </w:rPr>
        <w:t>-----------------------------------------------------------------------------------------------------------------------------------------</w:t>
      </w:r>
    </w:p>
    <w:p w14:paraId="1A53D502" w14:textId="5C86CE8D" w:rsidR="005D387D" w:rsidRPr="006A55A3" w:rsidRDefault="002B3414" w:rsidP="000327B1">
      <w:pPr>
        <w:spacing w:line="240" w:lineRule="auto"/>
        <w:rPr>
          <w:sz w:val="20"/>
          <w:szCs w:val="20"/>
        </w:rPr>
      </w:pPr>
      <w:r w:rsidRPr="006A55A3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ACABC93" wp14:editId="3699632B">
            <wp:simplePos x="0" y="0"/>
            <wp:positionH relativeFrom="margin">
              <wp:posOffset>63500</wp:posOffset>
            </wp:positionH>
            <wp:positionV relativeFrom="paragraph">
              <wp:posOffset>33020</wp:posOffset>
            </wp:positionV>
            <wp:extent cx="1934845" cy="1828800"/>
            <wp:effectExtent l="0" t="0" r="8255" b="0"/>
            <wp:wrapSquare wrapText="bothSides"/>
            <wp:docPr id="2000534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34923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C06" w:rsidRPr="006A55A3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FD3587F" wp14:editId="1DC10666">
                <wp:simplePos x="0" y="0"/>
                <wp:positionH relativeFrom="column">
                  <wp:posOffset>10067925</wp:posOffset>
                </wp:positionH>
                <wp:positionV relativeFrom="paragraph">
                  <wp:posOffset>434160</wp:posOffset>
                </wp:positionV>
                <wp:extent cx="360" cy="360"/>
                <wp:effectExtent l="95250" t="152400" r="114300" b="1524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390A5" id="Ink 9" o:spid="_x0000_s1026" type="#_x0000_t75" style="position:absolute;margin-left:788.5pt;margin-top:25.7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D9Eilm&#10;4AEAAJ4EAAAQAAAAAAAAAAAAAAAAANQDAABkcnMvaW5rL2luazEueG1sUEsBAi0AFAAGAAgAAAAh&#10;AKfma9fgAAAACwEAAA8AAAAAAAAAAAAAAAAA4gUAAGRycy9kb3ducmV2LnhtbFBLAQItABQABgAI&#10;AAAAIQB5GLydvwAAACEBAAAZAAAAAAAAAAAAAAAAAO8GAABkcnMvX3JlbHMvZTJvRG9jLnhtbC5y&#10;ZWxzUEsFBgAAAAAGAAYAeAEAAOUHAAAAAA==&#10;">
                <v:imagedata r:id="rId14" o:title=""/>
              </v:shape>
            </w:pict>
          </mc:Fallback>
        </mc:AlternateContent>
      </w:r>
      <w:r w:rsidR="009A7C06" w:rsidRPr="006A55A3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479B8AF" wp14:editId="40B7F5A1">
                <wp:simplePos x="0" y="0"/>
                <wp:positionH relativeFrom="column">
                  <wp:posOffset>3524205</wp:posOffset>
                </wp:positionH>
                <wp:positionV relativeFrom="paragraph">
                  <wp:posOffset>1091520</wp:posOffset>
                </wp:positionV>
                <wp:extent cx="360" cy="360"/>
                <wp:effectExtent l="95250" t="152400" r="114300" b="1524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9F69AC" id="Ink 8" o:spid="_x0000_s1026" type="#_x0000_t75" style="position:absolute;margin-left:273.25pt;margin-top:77.4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">
                <v:imagedata r:id="rId14" o:title=""/>
              </v:shape>
            </w:pict>
          </mc:Fallback>
        </mc:AlternateContent>
      </w:r>
      <w:r w:rsidR="009A7C06" w:rsidRPr="006A55A3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09B359CE" wp14:editId="46C8DC92">
                <wp:simplePos x="0" y="0"/>
                <wp:positionH relativeFrom="column">
                  <wp:posOffset>3219285</wp:posOffset>
                </wp:positionH>
                <wp:positionV relativeFrom="paragraph">
                  <wp:posOffset>824760</wp:posOffset>
                </wp:positionV>
                <wp:extent cx="360" cy="360"/>
                <wp:effectExtent l="95250" t="152400" r="114300" b="1524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55271A" id="Ink 6" o:spid="_x0000_s1026" type="#_x0000_t75" style="position:absolute;margin-left:249.25pt;margin-top:56.45pt;width:8.55pt;height:17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Au6Fbjf&#10;AQAAngQAABAAAAAAAAAAAAAAAAAA1AMAAGRycy9pbmsvaW5rMS54bWxQSwECLQAUAAYACAAAACEA&#10;u8WeDeAAAAALAQAADwAAAAAAAAAAAAAAAADhBQAAZHJzL2Rvd25yZXYueG1sUEsBAi0AFAAGAAgA&#10;AAAhAHkYvJ2/AAAAIQEAABkAAAAAAAAAAAAAAAAA7gYAAGRycy9fcmVscy9lMm9Eb2MueG1sLnJl&#10;bHNQSwUGAAAAAAYABgB4AQAA5AcAAAAA&#10;">
                <v:imagedata r:id="rId14" o:title=""/>
              </v:shape>
            </w:pict>
          </mc:Fallback>
        </mc:AlternateContent>
      </w:r>
      <w:r w:rsidR="009A7C06" w:rsidRPr="006A55A3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3576D9E0" wp14:editId="164DEB0E">
                <wp:simplePos x="0" y="0"/>
                <wp:positionH relativeFrom="column">
                  <wp:posOffset>3219285</wp:posOffset>
                </wp:positionH>
                <wp:positionV relativeFrom="paragraph">
                  <wp:posOffset>824760</wp:posOffset>
                </wp:positionV>
                <wp:extent cx="360" cy="360"/>
                <wp:effectExtent l="95250" t="152400" r="114300" b="1524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754282" id="Ink 5" o:spid="_x0000_s1026" type="#_x0000_t75" style="position:absolute;margin-left:249.25pt;margin-top:56.45pt;width:8.55pt;height:17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JyExk/f&#10;AQAAngQAABAAAAAAAAAAAAAAAAAA1AMAAGRycy9pbmsvaW5rMS54bWxQSwECLQAUAAYACAAAACEA&#10;u8WeDeAAAAALAQAADwAAAAAAAAAAAAAAAADhBQAAZHJzL2Rvd25yZXYueG1sUEsBAi0AFAAGAAgA&#10;AAAhAHkYvJ2/AAAAIQEAABkAAAAAAAAAAAAAAAAA7gYAAGRycy9fcmVscy9lMm9Eb2MueG1sLnJl&#10;bHNQSwUGAAAAAAYABgB4AQAA5AcAAAAA&#10;">
                <v:imagedata r:id="rId14" o:title=""/>
              </v:shape>
            </w:pict>
          </mc:Fallback>
        </mc:AlternateContent>
      </w:r>
      <w:r w:rsidR="009A7C06" w:rsidRPr="006A55A3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277B4598" wp14:editId="59AB6280">
                <wp:simplePos x="0" y="0"/>
                <wp:positionH relativeFrom="column">
                  <wp:posOffset>3028845</wp:posOffset>
                </wp:positionH>
                <wp:positionV relativeFrom="paragraph">
                  <wp:posOffset>1234440</wp:posOffset>
                </wp:positionV>
                <wp:extent cx="360" cy="360"/>
                <wp:effectExtent l="95250" t="152400" r="114300" b="1524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4E8DB" id="Ink 3" o:spid="_x0000_s1026" type="#_x0000_t75" style="position:absolute;margin-left:234.25pt;margin-top:88.7pt;width:8.55pt;height:17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N8QsQnf&#10;AQAAngQAABAAAAAAAAAAAAAAAAAA1AMAAGRycy9pbmsvaW5rMS54bWxQSwECLQAUAAYACAAAACEA&#10;HN8MF+AAAAALAQAADwAAAAAAAAAAAAAAAADhBQAAZHJzL2Rvd25yZXYueG1sUEsBAi0AFAAGAAgA&#10;AAAhAHkYvJ2/AAAAIQEAABkAAAAAAAAAAAAAAAAA7gYAAGRycy9fcmVscy9lMm9Eb2MueG1sLnJl&#10;bHNQSwUGAAAAAAYABgB4AQAA5AcAAAAA&#10;">
                <v:imagedata r:id="rId14" o:title=""/>
              </v:shape>
            </w:pict>
          </mc:Fallback>
        </mc:AlternateContent>
      </w:r>
      <w:r w:rsidR="009A7C06" w:rsidRPr="006A55A3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1072" behindDoc="0" locked="0" layoutInCell="1" allowOverlap="1" wp14:anchorId="7DC7DD2E" wp14:editId="4582940A">
                <wp:simplePos x="0" y="0"/>
                <wp:positionH relativeFrom="column">
                  <wp:posOffset>3047925</wp:posOffset>
                </wp:positionH>
                <wp:positionV relativeFrom="paragraph">
                  <wp:posOffset>977040</wp:posOffset>
                </wp:positionV>
                <wp:extent cx="360" cy="360"/>
                <wp:effectExtent l="95250" t="152400" r="114300" b="1524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10D6FF" id="Ink 2" o:spid="_x0000_s1026" type="#_x0000_t75" style="position:absolute;margin-left:235.75pt;margin-top:68.45pt;width:8.55pt;height:17.0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PpLSTLZAQAAmQQA&#10;ABAAAAAAAAAAAAAAAAAA1AMAAGRycy9pbmsvaW5rMS54bWxQSwECLQAUAAYACAAAACEAvQ1Mi+AA&#10;AAALAQAADwAAAAAAAAAAAAAAAADbBQAAZHJzL2Rvd25yZXYueG1sUEsBAi0AFAAGAAgAAAAhAHkY&#10;vJ2/AAAAIQEAABkAAAAAAAAAAAAAAAAA6AYAAGRycy9fcmVscy9lMm9Eb2MueG1sLnJlbHNQSwUG&#10;AAAAAAYABgB4AQAA3gcAAAAA&#10;">
                <v:imagedata r:id="rId14" o:title=""/>
              </v:shape>
            </w:pict>
          </mc:Fallback>
        </mc:AlternateContent>
      </w:r>
      <w:r w:rsidR="005D387D" w:rsidRPr="006A55A3">
        <w:rPr>
          <w:b/>
          <w:bCs/>
          <w:sz w:val="20"/>
          <w:szCs w:val="20"/>
        </w:rPr>
        <w:t xml:space="preserve">Lockport, IL, </w:t>
      </w:r>
      <w:r w:rsidR="009E1A36" w:rsidRPr="006A55A3">
        <w:rPr>
          <w:b/>
          <w:bCs/>
          <w:sz w:val="20"/>
          <w:szCs w:val="20"/>
        </w:rPr>
        <w:t>October 1, 2025</w:t>
      </w:r>
      <w:r w:rsidR="005D387D" w:rsidRPr="006A55A3">
        <w:rPr>
          <w:b/>
          <w:bCs/>
          <w:sz w:val="20"/>
          <w:szCs w:val="20"/>
        </w:rPr>
        <w:t xml:space="preserve"> –</w:t>
      </w:r>
      <w:r w:rsidR="005D387D" w:rsidRPr="006A55A3">
        <w:rPr>
          <w:sz w:val="20"/>
          <w:szCs w:val="20"/>
        </w:rPr>
        <w:t xml:space="preserve"> </w:t>
      </w:r>
      <w:r w:rsidR="005D387D" w:rsidRPr="006A55A3">
        <w:rPr>
          <w:b/>
          <w:bCs/>
          <w:sz w:val="20"/>
          <w:szCs w:val="20"/>
        </w:rPr>
        <w:t>Vitrek, LLC</w:t>
      </w:r>
      <w:r w:rsidR="005D387D" w:rsidRPr="006A55A3">
        <w:rPr>
          <w:sz w:val="20"/>
          <w:szCs w:val="20"/>
        </w:rPr>
        <w:t xml:space="preserve"> (“Vitrek”) </w:t>
      </w:r>
      <w:r w:rsidR="005D387D" w:rsidRPr="006A55A3">
        <w:rPr>
          <w:color w:val="000000"/>
          <w:spacing w:val="8"/>
          <w:sz w:val="20"/>
          <w:szCs w:val="20"/>
          <w:shd w:val="clear" w:color="auto" w:fill="FFFFFF"/>
        </w:rPr>
        <w:t xml:space="preserve">a leader in high-performance test and measurement equipment, </w:t>
      </w:r>
      <w:r w:rsidR="005D387D" w:rsidRPr="006A55A3">
        <w:rPr>
          <w:sz w:val="20"/>
          <w:szCs w:val="20"/>
        </w:rPr>
        <w:t>announced today that it will showcase</w:t>
      </w:r>
      <w:r w:rsidR="001C7C85">
        <w:rPr>
          <w:sz w:val="20"/>
          <w:szCs w:val="20"/>
        </w:rPr>
        <w:t xml:space="preserve"> </w:t>
      </w:r>
      <w:r w:rsidR="005D387D" w:rsidRPr="006A55A3">
        <w:rPr>
          <w:sz w:val="20"/>
          <w:szCs w:val="20"/>
        </w:rPr>
        <w:t xml:space="preserve">its expanded </w:t>
      </w:r>
      <w:proofErr w:type="spellStart"/>
      <w:r w:rsidR="005D387D" w:rsidRPr="006A55A3">
        <w:rPr>
          <w:sz w:val="20"/>
          <w:szCs w:val="20"/>
        </w:rPr>
        <w:t>Accumeasure</w:t>
      </w:r>
      <w:proofErr w:type="spellEnd"/>
      <w:r w:rsidR="005D387D" w:rsidRPr="006A55A3">
        <w:rPr>
          <w:sz w:val="20"/>
          <w:szCs w:val="20"/>
        </w:rPr>
        <w:t xml:space="preserve"> capacitance measurement product line at the SEMICON West exhibition on October 7-9, 2025, at the Phoenix Convention Center in Phoenix, Arizona. </w:t>
      </w:r>
    </w:p>
    <w:p w14:paraId="1D1F7CEE" w14:textId="77777777" w:rsidR="005D387D" w:rsidRPr="006A55A3" w:rsidRDefault="005D387D" w:rsidP="000327B1">
      <w:pPr>
        <w:spacing w:line="240" w:lineRule="auto"/>
        <w:rPr>
          <w:sz w:val="20"/>
          <w:szCs w:val="20"/>
        </w:rPr>
      </w:pPr>
    </w:p>
    <w:p w14:paraId="5C0869B6" w14:textId="115168DF" w:rsidR="005D387D" w:rsidRPr="006A55A3" w:rsidRDefault="005D387D" w:rsidP="000327B1">
      <w:pPr>
        <w:spacing w:line="240" w:lineRule="auto"/>
        <w:rPr>
          <w:rFonts w:eastAsia="Times New Roman"/>
          <w:color w:val="000000"/>
          <w:spacing w:val="8"/>
          <w:sz w:val="20"/>
          <w:szCs w:val="20"/>
        </w:rPr>
      </w:pPr>
      <w:r w:rsidRPr="006A55A3">
        <w:rPr>
          <w:sz w:val="20"/>
          <w:szCs w:val="20"/>
        </w:rPr>
        <w:t xml:space="preserve">Along with the established </w:t>
      </w:r>
      <w:proofErr w:type="spellStart"/>
      <w:r w:rsidRPr="006A55A3">
        <w:rPr>
          <w:sz w:val="20"/>
          <w:szCs w:val="20"/>
        </w:rPr>
        <w:t>Accumeasure</w:t>
      </w:r>
      <w:proofErr w:type="spellEnd"/>
      <w:r w:rsidRPr="006A55A3">
        <w:rPr>
          <w:sz w:val="20"/>
          <w:szCs w:val="20"/>
        </w:rPr>
        <w:t xml:space="preserve"> analog and digital test systems will be samples of the </w:t>
      </w:r>
      <w:proofErr w:type="spellStart"/>
      <w:r w:rsidRPr="006A55A3">
        <w:rPr>
          <w:sz w:val="20"/>
          <w:szCs w:val="20"/>
        </w:rPr>
        <w:t>Accumeasure</w:t>
      </w:r>
      <w:proofErr w:type="spellEnd"/>
      <w:r w:rsidRPr="006A55A3">
        <w:rPr>
          <w:sz w:val="20"/>
          <w:szCs w:val="20"/>
        </w:rPr>
        <w:t xml:space="preserve"> HD, offering the highest-resolution non-contact capacitance system in the world.  Developed and manufactured in the US, the </w:t>
      </w:r>
      <w:proofErr w:type="spellStart"/>
      <w:r w:rsidRPr="006A55A3">
        <w:rPr>
          <w:rFonts w:eastAsia="Times New Roman"/>
          <w:color w:val="000000"/>
          <w:spacing w:val="8"/>
          <w:sz w:val="20"/>
          <w:szCs w:val="20"/>
        </w:rPr>
        <w:t>Accumeasure</w:t>
      </w:r>
      <w:proofErr w:type="spellEnd"/>
      <w:r w:rsidRPr="006A55A3">
        <w:rPr>
          <w:rFonts w:eastAsia="Times New Roman"/>
          <w:color w:val="000000"/>
          <w:spacing w:val="8"/>
          <w:sz w:val="20"/>
          <w:szCs w:val="20"/>
        </w:rPr>
        <w:t xml:space="preserve"> HD system is a capacitance- based, displacement measurement instrument for ungrounded targets. </w:t>
      </w:r>
      <w:r w:rsidR="009E1A36" w:rsidRPr="006A55A3">
        <w:rPr>
          <w:rFonts w:eastAsia="Times New Roman"/>
          <w:color w:val="000000"/>
          <w:spacing w:val="8"/>
          <w:sz w:val="20"/>
          <w:szCs w:val="20"/>
        </w:rPr>
        <w:br/>
      </w:r>
    </w:p>
    <w:p w14:paraId="49CC4E3F" w14:textId="77777777" w:rsidR="005D387D" w:rsidRPr="006A55A3" w:rsidRDefault="005D387D" w:rsidP="000327B1">
      <w:pPr>
        <w:spacing w:line="240" w:lineRule="auto"/>
        <w:rPr>
          <w:rFonts w:eastAsia="Times New Roman"/>
          <w:color w:val="000000" w:themeColor="text1"/>
          <w:spacing w:val="8"/>
          <w:sz w:val="20"/>
          <w:szCs w:val="20"/>
        </w:rPr>
      </w:pPr>
      <w:r w:rsidRPr="006A55A3">
        <w:rPr>
          <w:rFonts w:eastAsia="Times New Roman"/>
          <w:color w:val="000000" w:themeColor="text1"/>
          <w:spacing w:val="8"/>
          <w:sz w:val="20"/>
          <w:szCs w:val="20"/>
        </w:rPr>
        <w:t xml:space="preserve">The extremely high-precision and high linearity of the rugged </w:t>
      </w:r>
      <w:proofErr w:type="spellStart"/>
      <w:r w:rsidRPr="006A55A3">
        <w:rPr>
          <w:rFonts w:eastAsia="Times New Roman"/>
          <w:color w:val="000000" w:themeColor="text1"/>
          <w:spacing w:val="8"/>
          <w:sz w:val="20"/>
          <w:szCs w:val="20"/>
        </w:rPr>
        <w:t>Accumeasure</w:t>
      </w:r>
      <w:proofErr w:type="spellEnd"/>
      <w:r w:rsidRPr="006A55A3">
        <w:rPr>
          <w:rFonts w:eastAsia="Times New Roman"/>
          <w:color w:val="000000" w:themeColor="text1"/>
          <w:spacing w:val="8"/>
          <w:sz w:val="20"/>
          <w:szCs w:val="20"/>
        </w:rPr>
        <w:t xml:space="preserve"> capacitance probes </w:t>
      </w:r>
      <w:proofErr w:type="gramStart"/>
      <w:r w:rsidRPr="006A55A3">
        <w:rPr>
          <w:rFonts w:eastAsia="Times New Roman"/>
          <w:color w:val="000000" w:themeColor="text1"/>
          <w:spacing w:val="8"/>
          <w:sz w:val="20"/>
          <w:szCs w:val="20"/>
        </w:rPr>
        <w:t>makes</w:t>
      </w:r>
      <w:proofErr w:type="gramEnd"/>
      <w:r w:rsidRPr="006A55A3">
        <w:rPr>
          <w:rFonts w:eastAsia="Times New Roman"/>
          <w:color w:val="000000" w:themeColor="text1"/>
          <w:spacing w:val="8"/>
          <w:sz w:val="20"/>
          <w:szCs w:val="20"/>
        </w:rPr>
        <w:t xml:space="preserve"> them ideal for wafer position applications. The rugged probes are not affected by magnetic fields, temperature, humidity, nuclear radiation, and pressure.</w:t>
      </w:r>
    </w:p>
    <w:p w14:paraId="3DE2ACA4" w14:textId="77777777" w:rsidR="005D387D" w:rsidRPr="006A55A3" w:rsidRDefault="005D387D" w:rsidP="000327B1">
      <w:pPr>
        <w:spacing w:line="240" w:lineRule="auto"/>
        <w:rPr>
          <w:rFonts w:eastAsia="Times New Roman"/>
          <w:color w:val="000000"/>
          <w:spacing w:val="8"/>
          <w:sz w:val="20"/>
          <w:szCs w:val="20"/>
        </w:rPr>
      </w:pPr>
    </w:p>
    <w:p w14:paraId="3C05DCAE" w14:textId="77777777" w:rsidR="005D387D" w:rsidRPr="006A55A3" w:rsidRDefault="005D387D" w:rsidP="000327B1">
      <w:pPr>
        <w:spacing w:line="240" w:lineRule="auto"/>
        <w:rPr>
          <w:rFonts w:eastAsia="Times New Roman"/>
          <w:color w:val="000000" w:themeColor="text1"/>
          <w:spacing w:val="8"/>
          <w:sz w:val="20"/>
          <w:szCs w:val="20"/>
        </w:rPr>
      </w:pPr>
      <w:proofErr w:type="spellStart"/>
      <w:r w:rsidRPr="006A55A3">
        <w:rPr>
          <w:rFonts w:eastAsia="Times New Roman"/>
          <w:b/>
          <w:bCs/>
          <w:color w:val="000000" w:themeColor="text1"/>
          <w:spacing w:val="8"/>
          <w:sz w:val="20"/>
          <w:szCs w:val="20"/>
        </w:rPr>
        <w:t>Accumeasure</w:t>
      </w:r>
      <w:proofErr w:type="spellEnd"/>
      <w:r w:rsidRPr="006A55A3">
        <w:rPr>
          <w:rFonts w:eastAsia="Times New Roman"/>
          <w:b/>
          <w:bCs/>
          <w:color w:val="000000" w:themeColor="text1"/>
          <w:spacing w:val="8"/>
          <w:sz w:val="20"/>
          <w:szCs w:val="20"/>
        </w:rPr>
        <w:t xml:space="preserve"> HD</w:t>
      </w:r>
      <w:r w:rsidRPr="006A55A3">
        <w:rPr>
          <w:rFonts w:eastAsia="Times New Roman"/>
          <w:color w:val="000000" w:themeColor="text1"/>
          <w:spacing w:val="8"/>
          <w:sz w:val="20"/>
          <w:szCs w:val="20"/>
        </w:rPr>
        <w:t xml:space="preserve"> </w:t>
      </w:r>
      <w:r w:rsidRPr="006A55A3">
        <w:rPr>
          <w:rFonts w:eastAsia="Times New Roman"/>
          <w:b/>
          <w:bCs/>
          <w:color w:val="000000" w:themeColor="text1"/>
          <w:spacing w:val="8"/>
          <w:sz w:val="20"/>
          <w:szCs w:val="20"/>
        </w:rPr>
        <w:t>Shown to Have Highest Resolution</w:t>
      </w:r>
    </w:p>
    <w:p w14:paraId="47EFD587" w14:textId="77777777" w:rsidR="005D387D" w:rsidRPr="006A55A3" w:rsidRDefault="005D387D" w:rsidP="000327B1">
      <w:pPr>
        <w:spacing w:line="240" w:lineRule="auto"/>
        <w:rPr>
          <w:rFonts w:eastAsia="Times New Roman"/>
          <w:color w:val="000000"/>
          <w:spacing w:val="8"/>
          <w:sz w:val="20"/>
          <w:szCs w:val="20"/>
        </w:rPr>
      </w:pPr>
    </w:p>
    <w:p w14:paraId="56DF7F79" w14:textId="77777777" w:rsidR="005D387D" w:rsidRPr="006A55A3" w:rsidRDefault="005D387D" w:rsidP="000327B1">
      <w:pPr>
        <w:spacing w:line="240" w:lineRule="auto"/>
        <w:rPr>
          <w:rFonts w:eastAsia="Times New Roman"/>
          <w:color w:val="000000"/>
          <w:spacing w:val="8"/>
          <w:sz w:val="20"/>
          <w:szCs w:val="20"/>
        </w:rPr>
      </w:pPr>
      <w:r w:rsidRPr="006A55A3">
        <w:rPr>
          <w:rFonts w:eastAsia="Times New Roman"/>
          <w:color w:val="000000"/>
          <w:spacing w:val="8"/>
          <w:sz w:val="20"/>
          <w:szCs w:val="20"/>
        </w:rPr>
        <w:t>“</w:t>
      </w:r>
      <w:proofErr w:type="spellStart"/>
      <w:r w:rsidRPr="006A55A3">
        <w:rPr>
          <w:rFonts w:eastAsia="Times New Roman"/>
          <w:color w:val="000000"/>
          <w:spacing w:val="8"/>
          <w:sz w:val="20"/>
          <w:szCs w:val="20"/>
        </w:rPr>
        <w:t>Accumeasure</w:t>
      </w:r>
      <w:proofErr w:type="spellEnd"/>
      <w:r w:rsidRPr="006A55A3">
        <w:rPr>
          <w:rFonts w:eastAsia="Times New Roman"/>
          <w:color w:val="000000"/>
          <w:spacing w:val="8"/>
          <w:sz w:val="20"/>
          <w:szCs w:val="20"/>
        </w:rPr>
        <w:t xml:space="preserve"> HD is a potential game changer for semiconductor manufacturers and others who depend on precise thermal-displacement measurements. It’s not only the most advanced capacitance displacement system developed, but it also stands up well against more costly laser interferometers, which have been the standard </w:t>
      </w:r>
      <w:r w:rsidRPr="006A55A3">
        <w:rPr>
          <w:rFonts w:eastAsia="Times New Roman"/>
          <w:color w:val="000000" w:themeColor="text1"/>
          <w:spacing w:val="8"/>
          <w:sz w:val="20"/>
          <w:szCs w:val="20"/>
        </w:rPr>
        <w:t>tool</w:t>
      </w:r>
      <w:r w:rsidRPr="006A55A3">
        <w:rPr>
          <w:rFonts w:eastAsia="Times New Roman"/>
          <w:color w:val="000000"/>
          <w:spacing w:val="8"/>
          <w:sz w:val="20"/>
          <w:szCs w:val="20"/>
        </w:rPr>
        <w:t xml:space="preserve"> for achieving this level of accuracy,” said Ken Ameika, VP of Global Sales.</w:t>
      </w:r>
    </w:p>
    <w:p w14:paraId="572A2038" w14:textId="77777777" w:rsidR="005D387D" w:rsidRPr="006A55A3" w:rsidRDefault="005D387D" w:rsidP="000327B1">
      <w:pPr>
        <w:spacing w:line="240" w:lineRule="auto"/>
        <w:rPr>
          <w:rFonts w:eastAsia="Times New Roman"/>
          <w:color w:val="000000"/>
          <w:spacing w:val="8"/>
          <w:sz w:val="20"/>
          <w:szCs w:val="20"/>
        </w:rPr>
      </w:pPr>
    </w:p>
    <w:p w14:paraId="0622E754" w14:textId="77777777" w:rsidR="005D387D" w:rsidRPr="006A55A3" w:rsidRDefault="005D387D" w:rsidP="000327B1">
      <w:pPr>
        <w:spacing w:line="240" w:lineRule="auto"/>
        <w:rPr>
          <w:rFonts w:eastAsia="Times New Roman"/>
          <w:color w:val="000000"/>
          <w:spacing w:val="8"/>
          <w:sz w:val="20"/>
          <w:szCs w:val="20"/>
        </w:rPr>
      </w:pPr>
      <w:r w:rsidRPr="006A55A3">
        <w:rPr>
          <w:rFonts w:eastAsia="Times New Roman"/>
          <w:color w:val="000000"/>
          <w:spacing w:val="8"/>
          <w:sz w:val="20"/>
          <w:szCs w:val="20"/>
        </w:rPr>
        <w:t xml:space="preserve">The </w:t>
      </w:r>
      <w:proofErr w:type="spellStart"/>
      <w:r w:rsidRPr="006A55A3">
        <w:rPr>
          <w:rFonts w:eastAsia="Times New Roman"/>
          <w:color w:val="000000"/>
          <w:spacing w:val="8"/>
          <w:sz w:val="20"/>
          <w:szCs w:val="20"/>
        </w:rPr>
        <w:t>Accumeasure</w:t>
      </w:r>
      <w:proofErr w:type="spellEnd"/>
      <w:r w:rsidRPr="006A55A3">
        <w:rPr>
          <w:rFonts w:eastAsia="Times New Roman"/>
          <w:color w:val="000000"/>
          <w:spacing w:val="8"/>
          <w:sz w:val="20"/>
          <w:szCs w:val="20"/>
        </w:rPr>
        <w:t xml:space="preserve"> HD was independently tested by Kevin Harding of Optical Metrology Solutions.  Corroborated by Vitrek experiments, the results showed that the </w:t>
      </w:r>
      <w:proofErr w:type="spellStart"/>
      <w:r w:rsidRPr="006A55A3">
        <w:rPr>
          <w:rFonts w:eastAsia="Times New Roman"/>
          <w:color w:val="000000"/>
          <w:spacing w:val="8"/>
          <w:sz w:val="20"/>
          <w:szCs w:val="20"/>
        </w:rPr>
        <w:t>Accumeasure</w:t>
      </w:r>
      <w:proofErr w:type="spellEnd"/>
      <w:r w:rsidRPr="006A55A3">
        <w:rPr>
          <w:rFonts w:eastAsia="Times New Roman"/>
          <w:color w:val="000000"/>
          <w:spacing w:val="8"/>
          <w:sz w:val="20"/>
          <w:szCs w:val="20"/>
        </w:rPr>
        <w:t xml:space="preserve"> HD system can provide picometer-level resolution when used with 50-micron HD capacitive probes. The system was able to measure distances as small as 70 picometers, at the time setting a new bar for capacitance systems.</w:t>
      </w:r>
    </w:p>
    <w:p w14:paraId="041132F9" w14:textId="77777777" w:rsidR="005D387D" w:rsidRPr="006A55A3" w:rsidRDefault="005D387D" w:rsidP="000327B1">
      <w:pPr>
        <w:spacing w:line="240" w:lineRule="auto"/>
        <w:rPr>
          <w:rFonts w:eastAsia="Times New Roman"/>
          <w:color w:val="000000"/>
          <w:spacing w:val="8"/>
          <w:sz w:val="20"/>
          <w:szCs w:val="20"/>
        </w:rPr>
      </w:pPr>
    </w:p>
    <w:p w14:paraId="22DD2970" w14:textId="77777777" w:rsidR="005D387D" w:rsidRPr="006A55A3" w:rsidRDefault="005D387D" w:rsidP="000327B1">
      <w:pPr>
        <w:spacing w:line="240" w:lineRule="auto"/>
        <w:rPr>
          <w:rFonts w:eastAsia="Times New Roman"/>
          <w:color w:val="000000"/>
          <w:spacing w:val="8"/>
          <w:sz w:val="20"/>
          <w:szCs w:val="20"/>
        </w:rPr>
      </w:pPr>
      <w:r w:rsidRPr="006A55A3">
        <w:rPr>
          <w:rFonts w:eastAsia="Times New Roman"/>
          <w:color w:val="000000"/>
          <w:spacing w:val="8"/>
          <w:sz w:val="20"/>
          <w:szCs w:val="20"/>
        </w:rPr>
        <w:t>“Engineers kept asking for higher resolution to support performance and yield, so the company developed and prototyped the HD product to match anticipated requirements,” says Pete Opela, VP of Engineering. “</w:t>
      </w:r>
    </w:p>
    <w:p w14:paraId="7F485AEB" w14:textId="198B8342" w:rsidR="00784B2E" w:rsidRDefault="00D077BB" w:rsidP="005D387D">
      <w:pPr>
        <w:spacing w:before="120" w:line="240" w:lineRule="auto"/>
        <w:rPr>
          <w:rFonts w:asciiTheme="majorHAnsi" w:eastAsia="Calibri" w:hAnsiTheme="majorHAnsi" w:cstheme="majorHAnsi"/>
          <w:color w:val="000000"/>
          <w:lang w:val="en-US"/>
        </w:rPr>
      </w:pPr>
      <w:r>
        <w:rPr>
          <w:rFonts w:asciiTheme="majorHAnsi" w:eastAsia="Calibri" w:hAnsiTheme="majorHAnsi" w:cstheme="majorHAnsi"/>
          <w:color w:val="000000"/>
          <w:lang w:val="en-US"/>
        </w:rPr>
        <w:t>------------------------------------------------------------------------------------------------------------------------------------------</w:t>
      </w:r>
    </w:p>
    <w:p w14:paraId="21A49A16" w14:textId="3BF266E7" w:rsidR="00784B2E" w:rsidRPr="00C853CB" w:rsidRDefault="00784B2E" w:rsidP="00277130">
      <w:pPr>
        <w:spacing w:before="120" w:line="240" w:lineRule="auto"/>
        <w:rPr>
          <w:rFonts w:asciiTheme="majorHAnsi" w:eastAsia="Calibri" w:hAnsiTheme="majorHAnsi" w:cstheme="majorHAnsi"/>
          <w:b/>
          <w:bCs/>
          <w:i/>
          <w:iCs/>
          <w:color w:val="000000"/>
          <w:lang w:val="en-US"/>
        </w:rPr>
      </w:pPr>
      <w:r w:rsidRPr="00C853CB">
        <w:rPr>
          <w:rFonts w:asciiTheme="majorHAnsi" w:eastAsia="Calibri" w:hAnsiTheme="majorHAnsi" w:cstheme="majorHAnsi"/>
          <w:b/>
          <w:bCs/>
          <w:i/>
          <w:iCs/>
          <w:color w:val="000000"/>
          <w:lang w:val="en-US"/>
        </w:rPr>
        <w:t>About Vitrek:</w:t>
      </w:r>
    </w:p>
    <w:p w14:paraId="3EA853E7" w14:textId="27CF8926" w:rsidR="009C6E7C" w:rsidRPr="00A9529A" w:rsidRDefault="00AB55C0" w:rsidP="00277130">
      <w:pPr>
        <w:spacing w:before="120" w:line="240" w:lineRule="auto"/>
        <w:rPr>
          <w:rFonts w:ascii="Calibri" w:hAnsi="Calibri" w:cs="Calibri"/>
          <w:i/>
          <w:iCs/>
          <w:sz w:val="18"/>
          <w:szCs w:val="18"/>
          <w:lang w:val="en-US"/>
        </w:rPr>
      </w:pPr>
      <w:r w:rsidRPr="00A9529A"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0" distR="0" simplePos="0" relativeHeight="251650048" behindDoc="0" locked="0" layoutInCell="1" hidden="0" allowOverlap="1" wp14:anchorId="2CBA9DF2" wp14:editId="61823DB9">
            <wp:simplePos x="0" y="0"/>
            <wp:positionH relativeFrom="column">
              <wp:posOffset>28575</wp:posOffset>
            </wp:positionH>
            <wp:positionV relativeFrom="paragraph">
              <wp:posOffset>13970</wp:posOffset>
            </wp:positionV>
            <wp:extent cx="438150" cy="409575"/>
            <wp:effectExtent l="0" t="0" r="0" b="9525"/>
            <wp:wrapSquare wrapText="bothSides" distT="0" distB="0" distL="0" distR="0"/>
            <wp:docPr id="7" name="image3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close up of a sign&#10;&#10;Description automatically generated"/>
                    <pic:cNvPicPr preferRelativeResize="0"/>
                  </pic:nvPicPr>
                  <pic:blipFill>
                    <a:blip r:embed="rId20"/>
                    <a:srcRect b="1252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AF8" w:rsidRPr="00A9529A">
        <w:rPr>
          <w:rFonts w:ascii="Calibri" w:hAnsi="Calibri" w:cs="Calibri"/>
          <w:i/>
          <w:iCs/>
          <w:sz w:val="18"/>
          <w:szCs w:val="18"/>
          <w:lang w:val="en-US"/>
        </w:rPr>
        <w:t xml:space="preserve">Vitrek </w:t>
      </w:r>
      <w:r w:rsidR="005503D4" w:rsidRPr="00A9529A">
        <w:rPr>
          <w:rFonts w:ascii="Calibri" w:hAnsi="Calibri" w:cs="Calibri"/>
          <w:i/>
          <w:iCs/>
          <w:sz w:val="18"/>
          <w:szCs w:val="18"/>
          <w:lang w:val="en-US"/>
        </w:rPr>
        <w:t>products are widely used in the aerospace</w:t>
      </w:r>
      <w:r w:rsidR="00014324" w:rsidRPr="00A9529A">
        <w:rPr>
          <w:rFonts w:ascii="Calibri" w:hAnsi="Calibri" w:cs="Calibri"/>
          <w:i/>
          <w:iCs/>
          <w:sz w:val="18"/>
          <w:szCs w:val="18"/>
          <w:lang w:val="en-US"/>
        </w:rPr>
        <w:t xml:space="preserve"> industries, electric vehicles, medical, research and development markets, as well as by a wide variety</w:t>
      </w:r>
      <w:r w:rsidR="00BF0743" w:rsidRPr="00A9529A">
        <w:rPr>
          <w:rFonts w:ascii="Calibri" w:hAnsi="Calibri" w:cs="Calibri"/>
          <w:i/>
          <w:iCs/>
          <w:sz w:val="18"/>
          <w:szCs w:val="18"/>
          <w:lang w:val="en-US"/>
        </w:rPr>
        <w:t xml:space="preserve"> of manufacturing industries. Vitrek product lines include a broad line of precision voltage generators and analyzers as well as </w:t>
      </w:r>
      <w:proofErr w:type="spellStart"/>
      <w:r w:rsidR="00BF0743" w:rsidRPr="00A9529A">
        <w:rPr>
          <w:rFonts w:ascii="Calibri" w:hAnsi="Calibri" w:cs="Calibri"/>
          <w:i/>
          <w:iCs/>
          <w:sz w:val="18"/>
          <w:szCs w:val="18"/>
          <w:lang w:val="en-US"/>
        </w:rPr>
        <w:t>hipot</w:t>
      </w:r>
      <w:proofErr w:type="spellEnd"/>
      <w:r w:rsidR="00BF0743" w:rsidRPr="00A9529A">
        <w:rPr>
          <w:rFonts w:ascii="Calibri" w:hAnsi="Calibri" w:cs="Calibri"/>
          <w:i/>
          <w:iCs/>
          <w:sz w:val="18"/>
          <w:szCs w:val="18"/>
          <w:lang w:val="en-US"/>
        </w:rPr>
        <w:t xml:space="preserve"> testers and switches.</w:t>
      </w:r>
      <w:r w:rsidR="00A9529A" w:rsidRPr="00A9529A">
        <w:rPr>
          <w:rFonts w:ascii="Calibri" w:hAnsi="Calibri" w:cs="Calibri"/>
          <w:i/>
          <w:iCs/>
          <w:sz w:val="18"/>
          <w:szCs w:val="18"/>
          <w:lang w:val="en-US"/>
        </w:rPr>
        <w:br/>
      </w:r>
    </w:p>
    <w:p w14:paraId="40672AEB" w14:textId="77777777" w:rsidR="00BF0743" w:rsidRDefault="00BF0743" w:rsidP="00AB55C0">
      <w:pPr>
        <w:rPr>
          <w:rFonts w:ascii="Calibri" w:hAnsi="Calibri" w:cs="Calibri"/>
          <w:i/>
          <w:iCs/>
          <w:sz w:val="18"/>
          <w:szCs w:val="18"/>
          <w:lang w:val="en-US"/>
        </w:rPr>
      </w:pPr>
      <w:r w:rsidRPr="00A9529A">
        <w:rPr>
          <w:rFonts w:ascii="Calibri" w:hAnsi="Calibri" w:cs="Calibri"/>
          <w:i/>
          <w:iCs/>
          <w:sz w:val="18"/>
          <w:szCs w:val="18"/>
          <w:lang w:val="en-US"/>
        </w:rPr>
        <w:t>The Vitrek family of brands also include</w:t>
      </w:r>
      <w:r w:rsidR="005134F2" w:rsidRPr="00A9529A">
        <w:rPr>
          <w:rFonts w:ascii="Calibri" w:hAnsi="Calibri" w:cs="Calibri"/>
          <w:i/>
          <w:iCs/>
          <w:sz w:val="18"/>
          <w:szCs w:val="18"/>
          <w:lang w:val="en-US"/>
        </w:rPr>
        <w:t>s</w:t>
      </w:r>
      <w:r w:rsidR="00054B5E" w:rsidRPr="00A9529A">
        <w:rPr>
          <w:rFonts w:ascii="Calibri" w:hAnsi="Calibri" w:cs="Calibri"/>
          <w:i/>
          <w:iCs/>
          <w:sz w:val="18"/>
          <w:szCs w:val="18"/>
          <w:lang w:val="en-US"/>
        </w:rPr>
        <w:t>:</w:t>
      </w:r>
      <w:r w:rsidR="005134F2" w:rsidRPr="00A9529A">
        <w:rPr>
          <w:rFonts w:ascii="Calibri" w:hAnsi="Calibri" w:cs="Calibri"/>
          <w:i/>
          <w:iCs/>
          <w:sz w:val="18"/>
          <w:szCs w:val="18"/>
          <w:lang w:val="en-US"/>
        </w:rPr>
        <w:t xml:space="preserve"> the MTI lines of jet engine balancing products</w:t>
      </w:r>
      <w:r w:rsidR="006417F3">
        <w:rPr>
          <w:rFonts w:ascii="Calibri" w:hAnsi="Calibri" w:cs="Calibri"/>
          <w:i/>
          <w:iCs/>
          <w:sz w:val="18"/>
          <w:szCs w:val="18"/>
          <w:lang w:val="en-US"/>
        </w:rPr>
        <w:t xml:space="preserve"> and </w:t>
      </w:r>
      <w:r w:rsidR="006417F3" w:rsidRPr="00A9529A">
        <w:rPr>
          <w:rFonts w:ascii="Calibri" w:hAnsi="Calibri" w:cs="Calibri"/>
          <w:i/>
          <w:iCs/>
          <w:sz w:val="18"/>
          <w:szCs w:val="18"/>
          <w:lang w:val="en-US"/>
        </w:rPr>
        <w:t>capacitive measurement solutions as well as</w:t>
      </w:r>
      <w:r w:rsidR="0094425B" w:rsidRPr="00A9529A">
        <w:rPr>
          <w:rFonts w:ascii="Calibri" w:hAnsi="Calibri" w:cs="Calibri"/>
          <w:i/>
          <w:iCs/>
          <w:sz w:val="18"/>
          <w:szCs w:val="18"/>
          <w:lang w:val="en-US"/>
        </w:rPr>
        <w:t xml:space="preserve">; the </w:t>
      </w:r>
      <w:proofErr w:type="spellStart"/>
      <w:r w:rsidR="0094425B" w:rsidRPr="00A9529A">
        <w:rPr>
          <w:rFonts w:ascii="Calibri" w:hAnsi="Calibri" w:cs="Calibri"/>
          <w:i/>
          <w:iCs/>
          <w:sz w:val="18"/>
          <w:szCs w:val="18"/>
          <w:lang w:val="en-US"/>
        </w:rPr>
        <w:t>GaGe</w:t>
      </w:r>
      <w:proofErr w:type="spellEnd"/>
      <w:r w:rsidR="0094425B" w:rsidRPr="00A9529A">
        <w:rPr>
          <w:rFonts w:ascii="Calibri" w:hAnsi="Calibri" w:cs="Calibri"/>
          <w:i/>
          <w:iCs/>
          <w:sz w:val="18"/>
          <w:szCs w:val="18"/>
          <w:lang w:val="en-US"/>
        </w:rPr>
        <w:t xml:space="preserve"> digitizer cards which are recognized worldwide for combining high speeds with high-resolution and application flexibilit</w:t>
      </w:r>
      <w:r w:rsidR="001C7C85">
        <w:rPr>
          <w:rFonts w:ascii="Calibri" w:hAnsi="Calibri" w:cs="Calibri"/>
          <w:i/>
          <w:iCs/>
          <w:sz w:val="18"/>
          <w:szCs w:val="18"/>
          <w:lang w:val="en-US"/>
        </w:rPr>
        <w:t>y.</w:t>
      </w:r>
    </w:p>
    <w:p w14:paraId="0E1C86F7" w14:textId="243DA9EB" w:rsidR="00E1231C" w:rsidRPr="00A9529A" w:rsidRDefault="00E1231C" w:rsidP="00AB55C0">
      <w:pPr>
        <w:rPr>
          <w:rFonts w:asciiTheme="majorHAnsi" w:hAnsiTheme="majorHAnsi" w:cstheme="majorHAnsi"/>
          <w:i/>
          <w:iCs/>
          <w:color w:val="000000"/>
          <w:sz w:val="18"/>
          <w:szCs w:val="18"/>
        </w:rPr>
        <w:sectPr w:rsidR="00E1231C" w:rsidRPr="00A9529A" w:rsidSect="005648D1">
          <w:pgSz w:w="12240" w:h="15840"/>
          <w:pgMar w:top="630" w:right="1440" w:bottom="360" w:left="1440" w:header="720" w:footer="720" w:gutter="0"/>
          <w:pgNumType w:start="1"/>
          <w:cols w:space="720"/>
        </w:sectPr>
      </w:pPr>
    </w:p>
    <w:p w14:paraId="35F4A120" w14:textId="4C2DDAE7" w:rsidR="009C6E7C" w:rsidRPr="00D604A1" w:rsidRDefault="009C6E7C" w:rsidP="004005D9">
      <w:pPr>
        <w:spacing w:line="240" w:lineRule="auto"/>
        <w:ind w:right="-540"/>
        <w:rPr>
          <w:rFonts w:asciiTheme="majorHAnsi" w:eastAsia="Calibri" w:hAnsiTheme="majorHAnsi" w:cstheme="majorHAnsi"/>
          <w:color w:val="000000"/>
          <w:sz w:val="16"/>
          <w:szCs w:val="16"/>
        </w:rPr>
        <w:sectPr w:rsidR="009C6E7C" w:rsidRPr="00D604A1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4320" w:space="720"/>
            <w:col w:w="4320"/>
          </w:cols>
        </w:sectPr>
      </w:pPr>
    </w:p>
    <w:p w14:paraId="04D62B76" w14:textId="4492A4A6" w:rsidR="009C6E7C" w:rsidRPr="00D604A1" w:rsidRDefault="009C6E7C" w:rsidP="57642787">
      <w:pPr>
        <w:spacing w:line="240" w:lineRule="auto"/>
        <w:ind w:right="-540"/>
        <w:rPr>
          <w:rFonts w:asciiTheme="majorHAnsi" w:eastAsia="Calibri" w:hAnsiTheme="majorHAnsi" w:cstheme="majorBidi"/>
          <w:color w:val="000000"/>
          <w:sz w:val="16"/>
          <w:szCs w:val="16"/>
        </w:rPr>
      </w:pPr>
    </w:p>
    <w:sectPr w:rsidR="009C6E7C" w:rsidRPr="00D604A1">
      <w:type w:val="continuous"/>
      <w:pgSz w:w="12240" w:h="15840"/>
      <w:pgMar w:top="1440" w:right="1440" w:bottom="1440" w:left="1440" w:header="720" w:footer="720" w:gutter="0"/>
      <w:pgNumType w:start="1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7nJT242HNqnh+" int2:id="KAoqEV5V">
      <int2:state int2:value="Rejected" int2:type="AugLoop_Text_Critique"/>
    </int2:textHash>
    <int2:textHash int2:hashCode="e6HrvDTicliTLS" int2:id="rBxpMXoo">
      <int2:state int2:value="Rejected" int2:type="AugLoop_Text_Critique"/>
    </int2:textHash>
    <int2:textHash int2:hashCode="ohdRNDeVF9bUXQ" int2:id="QH6AmSB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723D"/>
    <w:multiLevelType w:val="hybridMultilevel"/>
    <w:tmpl w:val="BEB4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7211"/>
    <w:multiLevelType w:val="multilevel"/>
    <w:tmpl w:val="79F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C51D2"/>
    <w:multiLevelType w:val="hybridMultilevel"/>
    <w:tmpl w:val="03C4F772"/>
    <w:lvl w:ilvl="0" w:tplc="7508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20723">
    <w:abstractNumId w:val="0"/>
  </w:num>
  <w:num w:numId="2" w16cid:durableId="837958473">
    <w:abstractNumId w:val="2"/>
  </w:num>
  <w:num w:numId="3" w16cid:durableId="74252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7C"/>
    <w:rsid w:val="00014324"/>
    <w:rsid w:val="00016624"/>
    <w:rsid w:val="00017297"/>
    <w:rsid w:val="0002122F"/>
    <w:rsid w:val="000327B1"/>
    <w:rsid w:val="00035A41"/>
    <w:rsid w:val="00036012"/>
    <w:rsid w:val="0004447A"/>
    <w:rsid w:val="0005380E"/>
    <w:rsid w:val="00054B5E"/>
    <w:rsid w:val="0005738F"/>
    <w:rsid w:val="0007524F"/>
    <w:rsid w:val="0009189F"/>
    <w:rsid w:val="00095DE1"/>
    <w:rsid w:val="000C706B"/>
    <w:rsid w:val="000D56BE"/>
    <w:rsid w:val="00102A56"/>
    <w:rsid w:val="0010663C"/>
    <w:rsid w:val="00145A15"/>
    <w:rsid w:val="0014680C"/>
    <w:rsid w:val="0015034F"/>
    <w:rsid w:val="00191352"/>
    <w:rsid w:val="00195E87"/>
    <w:rsid w:val="001B6B22"/>
    <w:rsid w:val="001C7C85"/>
    <w:rsid w:val="001D302E"/>
    <w:rsid w:val="001D7E5B"/>
    <w:rsid w:val="002046D2"/>
    <w:rsid w:val="00206C69"/>
    <w:rsid w:val="00230D77"/>
    <w:rsid w:val="0025088B"/>
    <w:rsid w:val="00277130"/>
    <w:rsid w:val="00292AD5"/>
    <w:rsid w:val="002954B2"/>
    <w:rsid w:val="002B3414"/>
    <w:rsid w:val="002B61E3"/>
    <w:rsid w:val="002B740B"/>
    <w:rsid w:val="002C452D"/>
    <w:rsid w:val="002D4B6E"/>
    <w:rsid w:val="002D5FDE"/>
    <w:rsid w:val="0035292C"/>
    <w:rsid w:val="003674BB"/>
    <w:rsid w:val="00376601"/>
    <w:rsid w:val="00384C36"/>
    <w:rsid w:val="003B2F7C"/>
    <w:rsid w:val="003C2679"/>
    <w:rsid w:val="003C55A2"/>
    <w:rsid w:val="003D77C1"/>
    <w:rsid w:val="003F4E81"/>
    <w:rsid w:val="004005D9"/>
    <w:rsid w:val="004062E5"/>
    <w:rsid w:val="00424B25"/>
    <w:rsid w:val="0043521A"/>
    <w:rsid w:val="00480408"/>
    <w:rsid w:val="00484B72"/>
    <w:rsid w:val="004A0472"/>
    <w:rsid w:val="004B2AA4"/>
    <w:rsid w:val="004B5CDC"/>
    <w:rsid w:val="004C1DC1"/>
    <w:rsid w:val="004E4A0C"/>
    <w:rsid w:val="00502264"/>
    <w:rsid w:val="005134F2"/>
    <w:rsid w:val="00530F2F"/>
    <w:rsid w:val="00547713"/>
    <w:rsid w:val="005503D4"/>
    <w:rsid w:val="005618A8"/>
    <w:rsid w:val="005648D1"/>
    <w:rsid w:val="00574168"/>
    <w:rsid w:val="00587701"/>
    <w:rsid w:val="00597EB0"/>
    <w:rsid w:val="005D387D"/>
    <w:rsid w:val="005D5B50"/>
    <w:rsid w:val="005D62C5"/>
    <w:rsid w:val="00631677"/>
    <w:rsid w:val="0063C149"/>
    <w:rsid w:val="006417F3"/>
    <w:rsid w:val="00641ECC"/>
    <w:rsid w:val="00664D5F"/>
    <w:rsid w:val="00695A82"/>
    <w:rsid w:val="006A55A3"/>
    <w:rsid w:val="006E1A3B"/>
    <w:rsid w:val="00707B35"/>
    <w:rsid w:val="007560C9"/>
    <w:rsid w:val="00783B97"/>
    <w:rsid w:val="00784B2E"/>
    <w:rsid w:val="007B2593"/>
    <w:rsid w:val="007C0551"/>
    <w:rsid w:val="007C362C"/>
    <w:rsid w:val="0081573E"/>
    <w:rsid w:val="008169F5"/>
    <w:rsid w:val="00826131"/>
    <w:rsid w:val="008454B9"/>
    <w:rsid w:val="00896E0F"/>
    <w:rsid w:val="008A0237"/>
    <w:rsid w:val="008A4C83"/>
    <w:rsid w:val="008C313D"/>
    <w:rsid w:val="00914FFB"/>
    <w:rsid w:val="0092141B"/>
    <w:rsid w:val="00921786"/>
    <w:rsid w:val="00924599"/>
    <w:rsid w:val="009416D8"/>
    <w:rsid w:val="0094425B"/>
    <w:rsid w:val="00953EA1"/>
    <w:rsid w:val="00962431"/>
    <w:rsid w:val="00964BE7"/>
    <w:rsid w:val="0097052C"/>
    <w:rsid w:val="0097347E"/>
    <w:rsid w:val="00982764"/>
    <w:rsid w:val="009A10D8"/>
    <w:rsid w:val="009A7C06"/>
    <w:rsid w:val="009C6E7C"/>
    <w:rsid w:val="009D3AF8"/>
    <w:rsid w:val="009E1A36"/>
    <w:rsid w:val="00A10425"/>
    <w:rsid w:val="00A15EAA"/>
    <w:rsid w:val="00A176C7"/>
    <w:rsid w:val="00A234BF"/>
    <w:rsid w:val="00A350AD"/>
    <w:rsid w:val="00A43789"/>
    <w:rsid w:val="00A60B11"/>
    <w:rsid w:val="00A74252"/>
    <w:rsid w:val="00A9529A"/>
    <w:rsid w:val="00AA07EA"/>
    <w:rsid w:val="00AA42F4"/>
    <w:rsid w:val="00AA52D4"/>
    <w:rsid w:val="00AA7853"/>
    <w:rsid w:val="00AB2C2E"/>
    <w:rsid w:val="00AB55C0"/>
    <w:rsid w:val="00AC0028"/>
    <w:rsid w:val="00AC62A2"/>
    <w:rsid w:val="00AF50D8"/>
    <w:rsid w:val="00AF596A"/>
    <w:rsid w:val="00B20993"/>
    <w:rsid w:val="00B40924"/>
    <w:rsid w:val="00B42F92"/>
    <w:rsid w:val="00B61DF5"/>
    <w:rsid w:val="00B630AA"/>
    <w:rsid w:val="00B83C27"/>
    <w:rsid w:val="00B95BA5"/>
    <w:rsid w:val="00BC089C"/>
    <w:rsid w:val="00BC0F59"/>
    <w:rsid w:val="00BD009D"/>
    <w:rsid w:val="00BE3813"/>
    <w:rsid w:val="00BE3CF4"/>
    <w:rsid w:val="00BF0743"/>
    <w:rsid w:val="00C069AE"/>
    <w:rsid w:val="00C34C04"/>
    <w:rsid w:val="00C72C06"/>
    <w:rsid w:val="00C853CB"/>
    <w:rsid w:val="00C90EB6"/>
    <w:rsid w:val="00C92D71"/>
    <w:rsid w:val="00CA2647"/>
    <w:rsid w:val="00CA4638"/>
    <w:rsid w:val="00CA75D1"/>
    <w:rsid w:val="00CC4188"/>
    <w:rsid w:val="00CD04E7"/>
    <w:rsid w:val="00CD792B"/>
    <w:rsid w:val="00CD7D4F"/>
    <w:rsid w:val="00D077BB"/>
    <w:rsid w:val="00D252C2"/>
    <w:rsid w:val="00D30586"/>
    <w:rsid w:val="00D36B6B"/>
    <w:rsid w:val="00D5068E"/>
    <w:rsid w:val="00D532B5"/>
    <w:rsid w:val="00D604A1"/>
    <w:rsid w:val="00DB19EB"/>
    <w:rsid w:val="00DB3143"/>
    <w:rsid w:val="00DB5735"/>
    <w:rsid w:val="00DC029E"/>
    <w:rsid w:val="00DD1212"/>
    <w:rsid w:val="00E1231C"/>
    <w:rsid w:val="00E16617"/>
    <w:rsid w:val="00E167DF"/>
    <w:rsid w:val="00E248BA"/>
    <w:rsid w:val="00E52F5E"/>
    <w:rsid w:val="00E56D8B"/>
    <w:rsid w:val="00E64631"/>
    <w:rsid w:val="00E8429E"/>
    <w:rsid w:val="00E935A6"/>
    <w:rsid w:val="00EA6D7F"/>
    <w:rsid w:val="00EB394C"/>
    <w:rsid w:val="00ED6DE1"/>
    <w:rsid w:val="00EE5BF8"/>
    <w:rsid w:val="00F10288"/>
    <w:rsid w:val="00F34770"/>
    <w:rsid w:val="00F5710E"/>
    <w:rsid w:val="00F855DB"/>
    <w:rsid w:val="00F95EED"/>
    <w:rsid w:val="00FB0392"/>
    <w:rsid w:val="00FB4B85"/>
    <w:rsid w:val="00FC5D96"/>
    <w:rsid w:val="00FC7C72"/>
    <w:rsid w:val="00FD2A58"/>
    <w:rsid w:val="00FE12B3"/>
    <w:rsid w:val="00FF26A1"/>
    <w:rsid w:val="02921C3B"/>
    <w:rsid w:val="0644B484"/>
    <w:rsid w:val="08574608"/>
    <w:rsid w:val="09C1965F"/>
    <w:rsid w:val="1087D300"/>
    <w:rsid w:val="19101860"/>
    <w:rsid w:val="1FCC335A"/>
    <w:rsid w:val="2206375D"/>
    <w:rsid w:val="24559AF5"/>
    <w:rsid w:val="246E7C56"/>
    <w:rsid w:val="34F53ED3"/>
    <w:rsid w:val="3DD3F0E9"/>
    <w:rsid w:val="43AB101D"/>
    <w:rsid w:val="4512A2DF"/>
    <w:rsid w:val="483DC636"/>
    <w:rsid w:val="4E82FD27"/>
    <w:rsid w:val="5016BDF6"/>
    <w:rsid w:val="541E5038"/>
    <w:rsid w:val="57642787"/>
    <w:rsid w:val="57735BB6"/>
    <w:rsid w:val="5849F671"/>
    <w:rsid w:val="5AF9B2DB"/>
    <w:rsid w:val="5C563E25"/>
    <w:rsid w:val="5E759084"/>
    <w:rsid w:val="5F1E1C24"/>
    <w:rsid w:val="6500227C"/>
    <w:rsid w:val="6515240D"/>
    <w:rsid w:val="67344C59"/>
    <w:rsid w:val="71A90F9B"/>
    <w:rsid w:val="787FAD2C"/>
    <w:rsid w:val="794EC6FE"/>
    <w:rsid w:val="7AFB9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9100"/>
  <w15:docId w15:val="{4C17233B-726F-034E-AB35-64C6CC3B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448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8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2C1B"/>
    <w:rPr>
      <w:color w:val="800080" w:themeColor="followedHyperlink"/>
      <w:u w:val="single"/>
    </w:rPr>
  </w:style>
  <w:style w:type="character" w:customStyle="1" w:styleId="xn-location">
    <w:name w:val="xn-location"/>
    <w:basedOn w:val="DefaultParagraphFont"/>
    <w:rsid w:val="009A06FF"/>
  </w:style>
  <w:style w:type="character" w:styleId="CommentReference">
    <w:name w:val="annotation reference"/>
    <w:basedOn w:val="DefaultParagraphFont"/>
    <w:uiPriority w:val="99"/>
    <w:semiHidden/>
    <w:unhideWhenUsed/>
    <w:rsid w:val="00814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22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12B3"/>
    <w:pPr>
      <w:ind w:left="720"/>
      <w:contextualSpacing/>
    </w:pPr>
  </w:style>
  <w:style w:type="paragraph" w:styleId="Revision">
    <w:name w:val="Revision"/>
    <w:hidden/>
    <w:uiPriority w:val="99"/>
    <w:semiHidden/>
    <w:rsid w:val="00E248BA"/>
    <w:pPr>
      <w:spacing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BE381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2C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customXml" Target="ink/ink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ustomXml" Target="ink/ink5.xml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microsoft.com/office/2020/10/relationships/intelligence" Target="intelligence2.xml"/><Relationship Id="rId10" Type="http://schemas.openxmlformats.org/officeDocument/2006/relationships/image" Target="media/image1.png"/><Relationship Id="rId19" Type="http://schemas.openxmlformats.org/officeDocument/2006/relationships/customXml" Target="ink/ink7.xml"/><Relationship Id="rId4" Type="http://schemas.openxmlformats.org/officeDocument/2006/relationships/customXml" Target="../customXml/item4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8.75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0,'0'5,"0"5,0 6,0-4,0-9,0-9,0-4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5.746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3.706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0.97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0.639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29.82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28.572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jYahiq2Eb2mjr1KDnkReSLDYVQ==">AMUW2mUud7RYyGDoWfnufb8Ydkg/kRuh1l9geC7B3nY93MZFQWfk3N+GzlrB8cFEU7asd/6gD1HhYOTeTpsRcwXXJf87J3Ykd417YlUYNUYT2aE5MTCyn+I=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73DF2E016F8418392E91172151D97" ma:contentTypeVersion="15" ma:contentTypeDescription="Create a new document." ma:contentTypeScope="" ma:versionID="ef9d6d501f02153c28f03a1fee912210">
  <xsd:schema xmlns:xsd="http://www.w3.org/2001/XMLSchema" xmlns:xs="http://www.w3.org/2001/XMLSchema" xmlns:p="http://schemas.microsoft.com/office/2006/metadata/properties" xmlns:ns2="53afaf57-c80a-4601-87a0-f4d824792dd2" xmlns:ns3="934f4b23-1654-43d6-8cc9-eb32bd60c2c1" targetNamespace="http://schemas.microsoft.com/office/2006/metadata/properties" ma:root="true" ma:fieldsID="07d5c858bc4a32599331695b0e13aa69" ns2:_="" ns3:_="">
    <xsd:import namespace="53afaf57-c80a-4601-87a0-f4d824792dd2"/>
    <xsd:import namespace="934f4b23-1654-43d6-8cc9-eb32bd60c2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af57-c80a-4601-87a0-f4d824792d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0733de7-d9cf-4faf-abf2-a2cafe6a18d3}" ma:internalName="TaxCatchAll" ma:showField="CatchAllData" ma:web="53afaf57-c80a-4601-87a0-f4d824792d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4b23-1654-43d6-8cc9-eb32bd60c2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f0a8399-529c-4cb0-9b3f-abe6894ef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f4b23-1654-43d6-8cc9-eb32bd60c2c1">
      <Terms xmlns="http://schemas.microsoft.com/office/infopath/2007/PartnerControls"/>
    </lcf76f155ced4ddcb4097134ff3c332f>
    <TaxCatchAll xmlns="53afaf57-c80a-4601-87a0-f4d824792dd2" xsi:nil="true"/>
  </documentManagement>
</p:properties>
</file>

<file path=customXml/itemProps1.xml><?xml version="1.0" encoding="utf-8"?>
<ds:datastoreItem xmlns:ds="http://schemas.openxmlformats.org/officeDocument/2006/customXml" ds:itemID="{622C59AA-663B-4B06-9CB7-DD8CC529E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4F85017-0854-4B9D-B919-6CF0BE873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faf57-c80a-4601-87a0-f4d824792dd2"/>
    <ds:schemaRef ds:uri="934f4b23-1654-43d6-8cc9-eb32bd60c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DE211-7515-472A-9D87-D28F0ED590F9}">
  <ds:schemaRefs>
    <ds:schemaRef ds:uri="http://schemas.microsoft.com/office/2006/metadata/properties"/>
    <ds:schemaRef ds:uri="http://schemas.microsoft.com/office/infopath/2007/PartnerControls"/>
    <ds:schemaRef ds:uri="934f4b23-1654-43d6-8cc9-eb32bd60c2c1"/>
    <ds:schemaRef ds:uri="53afaf57-c80a-4601-87a0-f4d824792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2626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Abbott</dc:creator>
  <cp:lastModifiedBy>Suzy Abbott</cp:lastModifiedBy>
  <cp:revision>6</cp:revision>
  <dcterms:created xsi:type="dcterms:W3CDTF">2025-09-29T14:51:00Z</dcterms:created>
  <dcterms:modified xsi:type="dcterms:W3CDTF">2025-09-29T14:54:00Z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0x01010056273DF2E016F8418392E91172151D97</vt:lpwstr>
  </property>
  <property fmtid="{D5CDD505-2E9C-101B-9397-08002B2CF9AE}" pid="3" name="MediaServiceImageTags">
    <vt:lpwstr/>
  </property>
</Properties>
</file>